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GT 6 Direitos Humanos e Educação 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 remição de pena pelo estudo e pela leitura: a educação prisional como instrumento de efetivação da dignidade humana no sistema prisional brasileiro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1418" w:firstLine="0"/>
        <w:jc w:val="right"/>
        <w:rPr>
          <w:sz w:val="24"/>
          <w:szCs w:val="24"/>
          <w:vertAlign w:val="superscript"/>
        </w:rPr>
      </w:pPr>
      <w:r w:rsidDel="00000000" w:rsidR="00000000" w:rsidRPr="00000000">
        <w:rPr>
          <w:sz w:val="24"/>
          <w:szCs w:val="24"/>
          <w:rtl w:val="0"/>
        </w:rPr>
        <w:t xml:space="preserve">Larissa Aguiar Brito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1418" w:firstLine="0"/>
        <w:jc w:val="right"/>
        <w:rPr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720" w:hanging="360"/>
        <w:jc w:val="both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08">
      <w:pPr>
        <w:spacing w:line="480" w:lineRule="auto"/>
        <w:ind w:left="7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execução penal representa um dos maiores desafios do sistema de justiça criminal brasileiro, sobretudo em razão da crise estrutural e da histórica ineficiência das prisões em promover a reintegração social. Nesse cenário, a educação emerge como um instrumento imprescindível de transformação social, capaz de romper barreiras e redefinir trajetórias. </w:t>
      </w:r>
    </w:p>
    <w:p w:rsidR="00000000" w:rsidDel="00000000" w:rsidP="00000000" w:rsidRDefault="00000000" w:rsidRPr="00000000" w14:paraId="0000000A">
      <w:pPr>
        <w:spacing w:line="240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Tal perspectiva encontra respaldo no ordenamento jurídico brasileiro, especialmente na Constituição Federal de 1988, que consagra a dignidade da pessoa humana como fundamento do Estado (art. 1º, III), e na Lei de Execução Penal (Lei nº 7.210/1984), que estabelece a educação como direito do apenado e instrumento de sua reintegração social. Nesse sentido, Machado e Guimarães (2014) sustentam que o cumprimento da pena deve orientar-se pela finalidade de ressocialização do custodiado, possibilitando-lhe uma nova inserção na sociedade.</w:t>
      </w:r>
    </w:p>
    <w:p w:rsidR="00000000" w:rsidDel="00000000" w:rsidP="00000000" w:rsidRDefault="00000000" w:rsidRPr="00000000" w14:paraId="0000000B">
      <w:pPr>
        <w:spacing w:line="240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Diante desse contexto, o presente trabalho se debruça sobre a seguinte questão: em que medida o estudo formal e a leitura podem se consolidar como meios efetivos de ressocialização penal no Brasil, considerando os desafios estruturais, institucionais e sociais que limitam sua implementação? </w:t>
      </w:r>
    </w:p>
    <w:p w:rsidR="00000000" w:rsidDel="00000000" w:rsidP="00000000" w:rsidRDefault="00000000" w:rsidRPr="00000000" w14:paraId="0000000C">
      <w:pPr>
        <w:spacing w:line="240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objetivo geral é analisar criticamente a produção científica acerca da educação, compreendendo o estudo e a leitura como possibilidades integradas de ressocialização no sistema prisional brasileiro. Parte-se da hipótese de que os processos de educação continuada, quando garantidos de forma sistemática, configuram caminhos eficazes de ressocialização penal, capazes de reduzir a reincidência.</w:t>
      </w:r>
    </w:p>
    <w:p w:rsidR="00000000" w:rsidDel="00000000" w:rsidP="00000000" w:rsidRDefault="00000000" w:rsidRPr="00000000" w14:paraId="0000000D">
      <w:pPr>
        <w:spacing w:line="240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Metodologicamente, a pesquisa foi conduzida de forma qualitativa, por meio de uma revisão narrativa de literatura. A busca ocorreu nas bases de dados Google Acadêmico, SciELO e Portal de Periódicos CAPES, utilizando descritores como "educação prisional", "ressocialização" e "leitura".</w:t>
      </w:r>
    </w:p>
    <w:p w:rsidR="00000000" w:rsidDel="00000000" w:rsidP="00000000" w:rsidRDefault="00000000" w:rsidRPr="00000000" w14:paraId="0000000E">
      <w:pPr>
        <w:spacing w:line="480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jc w:val="both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DESENVOLVIMENTO </w:t>
      </w:r>
    </w:p>
    <w:p w:rsidR="00000000" w:rsidDel="00000000" w:rsidP="00000000" w:rsidRDefault="00000000" w:rsidRPr="00000000" w14:paraId="00000010">
      <w:pPr>
        <w:spacing w:line="480" w:lineRule="auto"/>
        <w:ind w:left="7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Conforme explica Nucci (2025), a sanção penal cumpre simultaneamente funções retributiva e reeducativa, servindo também como instrumento pedagógico e de reconstrução social, preparando o apenado para o retorno à convivência comunitária. Essa perspectiva dialoga com Cesare Beccaria, que já no século XVIII defendia que o objetivo da pena deve ser a prevenção de novos delitos e a reintegração do indivíduo à sociedade, por meio da racionalidade e da humanidade das sanções.</w:t>
      </w:r>
    </w:p>
    <w:p w:rsidR="00000000" w:rsidDel="00000000" w:rsidP="00000000" w:rsidRDefault="00000000" w:rsidRPr="00000000" w14:paraId="00000012">
      <w:pPr>
        <w:spacing w:line="240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leitura consolida-se como uma extensão intrínseca do conceito de estudo. Esse entendimento foi recentemente consolidado pelo Superior Tribunal de Justiça (STJ) por meio do Tema Repetitivo 1.278, que reconheceu a leitura literária validada como uma modalidade de estudo capaz de gerar a remição da pena (Brasil, 2025). Assim, a leitura permite considerar o indivíduo privado de liberdade como sujeito que transcende a condição de apenado, reconhecendo sua dimensão plena como pessoa (Aquino, 2024). </w:t>
      </w:r>
    </w:p>
    <w:p w:rsidR="00000000" w:rsidDel="00000000" w:rsidP="00000000" w:rsidRDefault="00000000" w:rsidRPr="00000000" w14:paraId="00000013">
      <w:pPr>
        <w:spacing w:line="240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Além disso, a escrita possibilita a criação de temporalidades alternativas que oferecem meios de resistência e de fuga simbólica (Nascimento e Camargo, 2018). Especificamente sobre a remição de pena por meio da leitura, Coelho e Tormin (2024) destacam que o programa tem alcançado resultados compatíveis com a redução do tempo de pena e o favorecimento da reintegração social.</w:t>
      </w:r>
    </w:p>
    <w:p w:rsidR="00000000" w:rsidDel="00000000" w:rsidP="00000000" w:rsidRDefault="00000000" w:rsidRPr="00000000" w14:paraId="00000014">
      <w:pPr>
        <w:spacing w:line="240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Entretanto, observa-se que a implementação prática dessas diretrizes ainda enfrenta entraves significativos, revelando uma distância preocupante entre o que é previsto e o que é realizado. Araujo, Oliveira e Queiroz (2022) ressaltam que o sistema penitenciário brasileiro ainda não assegura condições dignas para o cumprimento da pena nem garante a efetividade da educação, o que contribui diretamente para o aumento da reincidência criminal. Para superar tais barreiras, Barros Filho, Leite e Monteiro (2023) defendem que se trata de um desafio interdisciplinar, exigindo uma proposta pedagógica integrada com saúde, trabalho e assistência social.</w:t>
      </w:r>
    </w:p>
    <w:p w:rsidR="00000000" w:rsidDel="00000000" w:rsidP="00000000" w:rsidRDefault="00000000" w:rsidRPr="00000000" w14:paraId="00000015">
      <w:pPr>
        <w:spacing w:line="48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jc w:val="both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CONSIDERAÇÕES FINAIS </w:t>
      </w:r>
    </w:p>
    <w:p w:rsidR="00000000" w:rsidDel="00000000" w:rsidP="00000000" w:rsidRDefault="00000000" w:rsidRPr="00000000" w14:paraId="00000017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análise evidencia que a educação prisional, consubstanciada tanto no estudo formal quanto nas práticas de leitura, configura-se como um dos mais eficazes instrumentos de ruptura do ciclo de marginalização. Quando garantida de forma sistemática, a formação intelectual habilita o indivíduo para enfrentar o mercado de trabalho e o convívio comunitário, reduzindo significativamente os índices de reincidência criminal.</w:t>
      </w:r>
    </w:p>
    <w:p w:rsidR="00000000" w:rsidDel="00000000" w:rsidP="00000000" w:rsidRDefault="00000000" w:rsidRPr="00000000" w14:paraId="00000019">
      <w:pP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Conclui-se que a ressocialização não deve ser entendida apenas como um retorno burocrático à sociedade, mas como um processo de reintegração humana fundamentado na dignidade. A superação dos entraves institucionais exige investimentos estruturais e contínuos em políticas de capacitação e a articulação permanente entre o Estado, universidades e organizações da sociedade civil. Somente por meio de um paradigma humanista de justiça será possível transformar o cárcere em um espaço de aprendizagem e efetiva reconstrução de vidas.</w:t>
      </w:r>
    </w:p>
    <w:p w:rsidR="00000000" w:rsidDel="00000000" w:rsidP="00000000" w:rsidRDefault="00000000" w:rsidRPr="00000000" w14:paraId="0000001A">
      <w:pPr>
        <w:spacing w:line="48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48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REFERÊNCIAS </w:t>
      </w:r>
    </w:p>
    <w:p w:rsidR="00000000" w:rsidDel="00000000" w:rsidP="00000000" w:rsidRDefault="00000000" w:rsidRPr="00000000" w14:paraId="0000001D">
      <w:pPr>
        <w:spacing w:line="480" w:lineRule="auto"/>
        <w:ind w:lef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AGUIAR, Marcos; GAMA, Giliarde. Remição penal pela leitura: uma revisão sistemática de literatura.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Revista JRG de Estudos Acadêmicos</w:t>
      </w:r>
      <w:r w:rsidDel="00000000" w:rsidR="00000000" w:rsidRPr="00000000">
        <w:rPr>
          <w:sz w:val="24"/>
          <w:szCs w:val="24"/>
          <w:rtl w:val="0"/>
        </w:rPr>
        <w:t xml:space="preserve">, v. 7, e141102, 2024. DOI: 10.55892/jrg.v7i14.1102. Disponível em: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https://revistajrg.com/index.php/jrg/article/view/1102</w:t>
      </w:r>
      <w:r w:rsidDel="00000000" w:rsidR="00000000" w:rsidRPr="00000000">
        <w:rPr>
          <w:sz w:val="24"/>
          <w:szCs w:val="24"/>
          <w:rtl w:val="0"/>
        </w:rPr>
        <w:t xml:space="preserve">. Acesso em: 31 mar. 2026. </w:t>
      </w:r>
    </w:p>
    <w:p w:rsidR="00000000" w:rsidDel="00000000" w:rsidP="00000000" w:rsidRDefault="00000000" w:rsidRPr="00000000" w14:paraId="0000001F">
      <w:pPr>
        <w:widowControl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AQUINO, Neliane Raquel Macedo. (RES)SIGNIFICANDO HORIZONTES: considerações sobre a remição pela leitura / (RE) thinking horizons: considerations about remission by reading.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Pensares em Revista</w:t>
      </w:r>
      <w:r w:rsidDel="00000000" w:rsidR="00000000" w:rsidRPr="00000000">
        <w:rPr>
          <w:sz w:val="24"/>
          <w:szCs w:val="24"/>
          <w:rtl w:val="0"/>
        </w:rPr>
        <w:t xml:space="preserve">, n. 30, p. 68-92, 2024. DOI: 10.12957/pr.2024.82748. Disponível em: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https://www.e-publicacoes.uerj.br/pensaresemrevista/article/view/82748.</w:t>
      </w:r>
      <w:r w:rsidDel="00000000" w:rsidR="00000000" w:rsidRPr="00000000">
        <w:rPr>
          <w:sz w:val="24"/>
          <w:szCs w:val="24"/>
          <w:rtl w:val="0"/>
        </w:rPr>
        <w:t xml:space="preserve"> Acesso em: 31 mar. 2026. </w:t>
      </w:r>
    </w:p>
    <w:p w:rsidR="00000000" w:rsidDel="00000000" w:rsidP="00000000" w:rsidRDefault="00000000" w:rsidRPr="00000000" w14:paraId="00000021">
      <w:pPr>
        <w:widowControl w:val="1"/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ARAUJO, Daiane de Sousa; OLIVEIRA, Vanessa Cavalcante; QUEIROZ, Carla. A ressocialização dos apenados mediante educação.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Revista Real – Revista de Educação, Administração e Linguagem,</w:t>
      </w:r>
      <w:r w:rsidDel="00000000" w:rsidR="00000000" w:rsidRPr="00000000">
        <w:rPr>
          <w:sz w:val="24"/>
          <w:szCs w:val="24"/>
          <w:rtl w:val="0"/>
        </w:rPr>
        <w:t xml:space="preserve"> São Paulo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v. 11, n. 1, p. 1–17, 2022. Disponível em: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https://revistas.icesp.br/index.php/Real/article/view/3940.</w:t>
      </w:r>
      <w:r w:rsidDel="00000000" w:rsidR="00000000" w:rsidRPr="00000000">
        <w:rPr>
          <w:sz w:val="24"/>
          <w:szCs w:val="24"/>
          <w:rtl w:val="0"/>
        </w:rPr>
        <w:t xml:space="preserve"> Acesso em: 31 mar. 2026. </w:t>
      </w:r>
    </w:p>
    <w:p w:rsidR="00000000" w:rsidDel="00000000" w:rsidP="00000000" w:rsidRDefault="00000000" w:rsidRPr="00000000" w14:paraId="00000023">
      <w:pPr>
        <w:widowControl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BARROS FILHO, Armando Dantas de; LEITE, Carlinda; MONTEIRO, Angélica Maria Reis. Políticas de educação nas prisões: uma análise das 10 maiores populações prisionais.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Revista Brasileira de Educação</w:t>
      </w:r>
      <w:r w:rsidDel="00000000" w:rsidR="00000000" w:rsidRPr="00000000">
        <w:rPr>
          <w:sz w:val="24"/>
          <w:szCs w:val="24"/>
          <w:rtl w:val="0"/>
        </w:rPr>
        <w:t xml:space="preserve">, v. 28, 2023. Disponível em: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https://doi.org/10.1590/S1413-24782023280069.</w:t>
      </w:r>
      <w:r w:rsidDel="00000000" w:rsidR="00000000" w:rsidRPr="00000000">
        <w:rPr>
          <w:sz w:val="24"/>
          <w:szCs w:val="24"/>
          <w:rtl w:val="0"/>
        </w:rPr>
        <w:t xml:space="preserve"> Acesso em: 31 mar. 2026. </w:t>
      </w:r>
    </w:p>
    <w:p w:rsidR="00000000" w:rsidDel="00000000" w:rsidP="00000000" w:rsidRDefault="00000000" w:rsidRPr="00000000" w14:paraId="00000025">
      <w:pPr>
        <w:widowControl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BRASIL. Lei nº 7.210, de 11 de julho de 1984. Institui a Lei de Execução Penal. Diário Oficial da União, Brasília, DF, 13 jul. 1984. Disponível em: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https://www.planalto.gov.br/ccivil_03/leis/l7210.htm</w:t>
      </w:r>
      <w:r w:rsidDel="00000000" w:rsidR="00000000" w:rsidRPr="00000000">
        <w:rPr>
          <w:sz w:val="24"/>
          <w:szCs w:val="24"/>
          <w:rtl w:val="0"/>
        </w:rPr>
        <w:t xml:space="preserve">. Acesso em: 31 mar. 2026. </w:t>
      </w:r>
    </w:p>
    <w:p w:rsidR="00000000" w:rsidDel="00000000" w:rsidP="00000000" w:rsidRDefault="00000000" w:rsidRPr="00000000" w14:paraId="00000027">
      <w:pPr>
        <w:widowControl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BRASIL. Constituição (1988). Constituição da República Federativa do Brasil de </w:t>
      </w:r>
      <w:r w:rsidDel="00000000" w:rsidR="00000000" w:rsidRPr="00000000">
        <w:rPr>
          <w:sz w:val="24"/>
          <w:szCs w:val="24"/>
          <w:rtl w:val="0"/>
        </w:rPr>
        <w:t xml:space="preserve">1988. Diário Oficial da União, Brasília, DF, 5 out. 1988. Disponível em: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https://www.planalto.gov.br/ccivil_03/constituicao/constituicao.htm.</w:t>
      </w:r>
      <w:r w:rsidDel="00000000" w:rsidR="00000000" w:rsidRPr="00000000">
        <w:rPr>
          <w:sz w:val="24"/>
          <w:szCs w:val="24"/>
          <w:rtl w:val="0"/>
        </w:rPr>
        <w:t xml:space="preserve"> Acesso em: 31 mar. 2026.</w:t>
      </w:r>
    </w:p>
    <w:p w:rsidR="00000000" w:rsidDel="00000000" w:rsidP="00000000" w:rsidRDefault="00000000" w:rsidRPr="00000000" w14:paraId="00000029">
      <w:pPr>
        <w:widowControl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BRASIL. Superior Tribunal de Justiça (3. Seção). Recurso Especial 2.121.878/SP. Tema Repetitivo 1.278. Relator: Ministro Og Fernandes. Brasília, DF, 2025. Disponível em: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https://processo.stj.jus.br/processo/pesquisa/?aplicacao=processos.ea&amp;tipoPesquisa=tipoPesquisaGenerica&amp;termo=REsp%202121878</w:t>
      </w:r>
      <w:r w:rsidDel="00000000" w:rsidR="00000000" w:rsidRPr="00000000">
        <w:rPr>
          <w:sz w:val="24"/>
          <w:szCs w:val="24"/>
          <w:rtl w:val="0"/>
        </w:rPr>
        <w:t xml:space="preserve">. Acesso em: 31 mar. 2026.</w:t>
      </w:r>
    </w:p>
    <w:p w:rsidR="00000000" w:rsidDel="00000000" w:rsidP="00000000" w:rsidRDefault="00000000" w:rsidRPr="00000000" w14:paraId="0000002B">
      <w:pPr>
        <w:widowControl w:val="1"/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COELHO, Saulo de Oliveira Pinto; TORMIN, Liana Antunes Vieira. Análise de resultados do programa remição da pena pela leitura em Goiás a partir de estudo de caso múltiplo.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Seqüência Estudos Jurídicos e Políticos,</w:t>
      </w:r>
      <w:r w:rsidDel="00000000" w:rsidR="00000000" w:rsidRPr="00000000">
        <w:rPr>
          <w:sz w:val="24"/>
          <w:szCs w:val="24"/>
          <w:rtl w:val="0"/>
        </w:rPr>
        <w:t xml:space="preserve"> Florianópolis, v. 45, n. 96, p. 1-60, 2024. DOI: 10.5007/2177-7055.2024.e99912. Disponível em: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https://doi.org/10.5007/2177-7055.2024.e99912</w:t>
      </w:r>
      <w:r w:rsidDel="00000000" w:rsidR="00000000" w:rsidRPr="00000000">
        <w:rPr>
          <w:sz w:val="24"/>
          <w:szCs w:val="24"/>
          <w:rtl w:val="0"/>
        </w:rPr>
        <w:t xml:space="preserve">. Acesso em: 31 mar. 2026. </w:t>
      </w:r>
    </w:p>
    <w:p w:rsidR="00000000" w:rsidDel="00000000" w:rsidP="00000000" w:rsidRDefault="00000000" w:rsidRPr="00000000" w14:paraId="0000002D">
      <w:pPr>
        <w:widowControl w:val="1"/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MACHADO, Nicaela Olímpia; GUIMARÃES, Issac Sabbá. A realidade do sistema prisional brasileiro e o princípio da dignidade da pessoa humana.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Revista Eletrônica de Iniciação Científica (RICC),</w:t>
      </w:r>
      <w:r w:rsidDel="00000000" w:rsidR="00000000" w:rsidRPr="00000000">
        <w:rPr>
          <w:sz w:val="24"/>
          <w:szCs w:val="24"/>
          <w:rtl w:val="0"/>
        </w:rPr>
        <w:t xml:space="preserve"> Itajaí, v. 5, n. 1, p. 566-581, 1º trimestre de 2014. Disponível em: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https://www.univali.br/graduacao/direito-itajai/publicacoes/revista-de-iniciacao-cientifica-ricc/edicoes/Lists/Artigos/Attachments/1008/Arquivo%2030.pdf. Acesso em: 31 mar.</w:t>
      </w:r>
      <w:r w:rsidDel="00000000" w:rsidR="00000000" w:rsidRPr="00000000">
        <w:rPr>
          <w:sz w:val="24"/>
          <w:szCs w:val="24"/>
          <w:rtl w:val="0"/>
        </w:rPr>
        <w:t xml:space="preserve"> 2026. </w:t>
      </w:r>
    </w:p>
    <w:p w:rsidR="00000000" w:rsidDel="00000000" w:rsidP="00000000" w:rsidRDefault="00000000" w:rsidRPr="00000000" w14:paraId="0000002F">
      <w:pPr>
        <w:widowControl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NASCIMENTO, Rafael Caetano do; CAMARGO, Maria Rosa Rodrigues Martins de. Escrita na prisão: linhas de invenção e resistência.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Perspectiva,  </w:t>
      </w:r>
      <w:r w:rsidDel="00000000" w:rsidR="00000000" w:rsidRPr="00000000">
        <w:rPr>
          <w:sz w:val="24"/>
          <w:szCs w:val="24"/>
          <w:rtl w:val="0"/>
        </w:rPr>
        <w:t xml:space="preserve">Florianopolis ,  v. 36, n. 4, p. 1398-1418,  out.  2018 .   Disponível em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&lt;http://educa.fcc.org.br/scielo.php?script=sci_arttext&amp;pid=S0102-54732018000401398&amp;lng=pt&amp;nrm=iso&gt;.</w:t>
      </w:r>
      <w:r w:rsidDel="00000000" w:rsidR="00000000" w:rsidRPr="00000000">
        <w:rPr>
          <w:sz w:val="24"/>
          <w:szCs w:val="24"/>
          <w:rtl w:val="0"/>
        </w:rPr>
        <w:t xml:space="preserve"> Acesso em: 31 mar. 2026. </w:t>
      </w:r>
    </w:p>
    <w:p w:rsidR="00000000" w:rsidDel="00000000" w:rsidP="00000000" w:rsidRDefault="00000000" w:rsidRPr="00000000" w14:paraId="00000031">
      <w:pPr>
        <w:widowControl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NUCCI, Guilherme de S.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Curso de Execução Penal - 8ª Edição 2025</w:t>
      </w:r>
      <w:r w:rsidDel="00000000" w:rsidR="00000000" w:rsidRPr="00000000">
        <w:rPr>
          <w:sz w:val="24"/>
          <w:szCs w:val="24"/>
          <w:rtl w:val="0"/>
        </w:rPr>
        <w:t xml:space="preserve">. 8. ed. Rio de Janeiro: Forense, 2025. E-book. p.7. ISBN 9788530997106. Disponível em: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https://app.minhabiblioteca.com.br/reader/books/9788530997106/. Acesso em: 31 mar. 2026.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10" w:orient="portrait"/>
      <w:pgMar w:bottom="278" w:top="391" w:left="1599" w:right="1298" w:header="159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spacing w:line="183" w:lineRule="auto"/>
      <w:ind w:left="172" w:right="179" w:firstLine="0"/>
      <w:jc w:val="center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spacing w:before="96" w:line="183" w:lineRule="auto"/>
      <w:ind w:left="172" w:right="471" w:firstLine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Anais do II Simpósio Internacional Práxis Itinerante: Juventudes e Direitos Humanos</w:t>
    </w:r>
  </w:p>
  <w:p w:rsidR="00000000" w:rsidDel="00000000" w:rsidP="00000000" w:rsidRDefault="00000000" w:rsidRPr="00000000" w14:paraId="0000003C">
    <w:pPr>
      <w:spacing w:line="183" w:lineRule="auto"/>
      <w:ind w:left="172" w:right="179" w:firstLine="0"/>
      <w:jc w:val="center"/>
      <w:rPr>
        <w:b w:val="1"/>
        <w:bCs w:val="1"/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13 a 15 de abril de 2026, UEL – Paraná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7" w:lineRule="auto"/>
      <w:rPr>
        <w:color w:val="000000"/>
        <w:sz w:val="15"/>
        <w:szCs w:val="15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3628720</wp:posOffset>
          </wp:positionH>
          <wp:positionV relativeFrom="paragraph">
            <wp:posOffset>138430</wp:posOffset>
          </wp:positionV>
          <wp:extent cx="1223010" cy="528320"/>
          <wp:effectExtent b="0" l="0" r="0" t="0"/>
          <wp:wrapNone/>
          <wp:docPr descr="Uma imagem contendo placa, desenho, perto, rua&#10;&#10;Descrição gerada automaticamente" id="1441755190" name="image5.png"/>
          <a:graphic>
            <a:graphicData uri="http://schemas.openxmlformats.org/drawingml/2006/picture">
              <pic:pic>
                <pic:nvPicPr>
                  <pic:cNvPr descr="Uma imagem contendo placa, desenho, perto, rua&#10;&#10;Descrição gerada automaticamente"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3010" cy="5283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-94585</wp:posOffset>
          </wp:positionH>
          <wp:positionV relativeFrom="paragraph">
            <wp:posOffset>150419</wp:posOffset>
          </wp:positionV>
          <wp:extent cx="1243330" cy="537210"/>
          <wp:effectExtent b="0" l="0" r="0" t="0"/>
          <wp:wrapTopAndBottom distB="0" distT="0"/>
          <wp:docPr id="1441755189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3330" cy="5372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1319860</wp:posOffset>
          </wp:positionH>
          <wp:positionV relativeFrom="paragraph">
            <wp:posOffset>108585</wp:posOffset>
          </wp:positionV>
          <wp:extent cx="824865" cy="568960"/>
          <wp:effectExtent b="0" l="0" r="0" t="0"/>
          <wp:wrapNone/>
          <wp:docPr id="144175518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4865" cy="5689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2391740</wp:posOffset>
          </wp:positionH>
          <wp:positionV relativeFrom="paragraph">
            <wp:posOffset>85090</wp:posOffset>
          </wp:positionV>
          <wp:extent cx="982345" cy="629920"/>
          <wp:effectExtent b="0" l="0" r="0" t="0"/>
          <wp:wrapNone/>
          <wp:docPr id="144175518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2345" cy="6299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5063490</wp:posOffset>
          </wp:positionH>
          <wp:positionV relativeFrom="paragraph">
            <wp:posOffset>71343</wp:posOffset>
          </wp:positionV>
          <wp:extent cx="692785" cy="692785"/>
          <wp:effectExtent b="0" l="0" r="0" t="0"/>
          <wp:wrapNone/>
          <wp:docPr id="144175518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2785" cy="6927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Graduanda em Direito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Afya Faculdades Vitória da Conquista, larissabrito.aguiar@hotmail.com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2305050</wp:posOffset>
          </wp:positionH>
          <wp:positionV relativeFrom="paragraph">
            <wp:posOffset>13337</wp:posOffset>
          </wp:positionV>
          <wp:extent cx="1259174" cy="533400"/>
          <wp:effectExtent b="0" l="0" r="0" t="0"/>
          <wp:wrapSquare wrapText="bothSides" distB="114300" distT="114300" distL="114300" distR="114300"/>
          <wp:docPr id="144175518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9174" cy="533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49" w:lineRule="auto"/>
      <w:ind w:left="172" w:right="182"/>
      <w:jc w:val="center"/>
    </w:pPr>
    <w:rPr>
      <w:b w:val="1"/>
      <w:bCs w:val="1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har"/>
    <w:uiPriority w:val="99"/>
    <w:unhideWhenUsed w:val="1"/>
    <w:rsid w:val="007E5E6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E5E6B"/>
    <w:rPr>
      <w:rFonts w:ascii="Arial" w:cs="Arial" w:eastAsia="Arial" w:hAnsi="Arial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7E5E6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E5E6B"/>
    <w:rPr>
      <w:rFonts w:ascii="Arial" w:cs="Arial" w:eastAsia="Arial" w:hAnsi="Arial"/>
      <w:lang w:val="pt-PT"/>
    </w:rPr>
  </w:style>
  <w:style w:type="paragraph" w:styleId="NormalWeb">
    <w:name w:val="Normal (Web)"/>
    <w:basedOn w:val="Normal"/>
    <w:uiPriority w:val="99"/>
    <w:semiHidden w:val="1"/>
    <w:unhideWhenUsed w:val="1"/>
    <w:rsid w:val="00065B2B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val="pt-BR"/>
    </w:rPr>
  </w:style>
  <w:style w:type="character" w:styleId="apple-tab-span" w:customStyle="1">
    <w:name w:val="apple-tab-span"/>
    <w:basedOn w:val="Fontepargpadro"/>
    <w:rsid w:val="00065B2B"/>
  </w:style>
  <w:style w:type="paragraph" w:styleId="SubtituloProex" w:customStyle="1">
    <w:name w:val="Subtitulo Proex"/>
    <w:basedOn w:val="Corpodetexto"/>
    <w:link w:val="SubtituloProexChar"/>
    <w:qFormat w:val="1"/>
    <w:rsid w:val="00762C13"/>
    <w:pPr>
      <w:spacing w:after="320" w:before="310" w:line="360" w:lineRule="auto"/>
      <w:jc w:val="center"/>
    </w:pPr>
    <w:rPr>
      <w:b w:val="1"/>
      <w:bCs w:val="1"/>
    </w:rPr>
  </w:style>
  <w:style w:type="character" w:styleId="SubtituloProexChar" w:customStyle="1">
    <w:name w:val="Subtitulo Proex Char"/>
    <w:basedOn w:val="Fontepargpadro"/>
    <w:link w:val="SubtituloProex"/>
    <w:rsid w:val="00762C13"/>
    <w:rPr>
      <w:rFonts w:ascii="Arial" w:cs="Arial" w:eastAsia="Arial" w:hAnsi="Arial"/>
      <w:b w:val="1"/>
      <w:bCs w:val="1"/>
      <w:sz w:val="24"/>
      <w:szCs w:val="24"/>
      <w:lang w:val="pt-PT"/>
    </w:rPr>
  </w:style>
  <w:style w:type="paragraph" w:styleId="Informaes" w:customStyle="1">
    <w:name w:val="Informações"/>
    <w:basedOn w:val="Normal"/>
    <w:link w:val="InformaesChar"/>
    <w:qFormat w:val="1"/>
    <w:rsid w:val="00762C13"/>
    <w:pPr>
      <w:widowControl w:val="1"/>
      <w:spacing w:after="160" w:line="360" w:lineRule="auto"/>
      <w:jc w:val="right"/>
    </w:pPr>
    <w:rPr>
      <w:rFonts w:eastAsiaTheme="minorHAnsi"/>
      <w:b w:val="1"/>
      <w:bCs w:val="1"/>
      <w:kern w:val="2"/>
      <w:sz w:val="24"/>
      <w:szCs w:val="24"/>
      <w:lang w:val="pt-BR"/>
    </w:rPr>
  </w:style>
  <w:style w:type="character" w:styleId="InformaesChar" w:customStyle="1">
    <w:name w:val="Informações Char"/>
    <w:basedOn w:val="Fontepargpadro"/>
    <w:link w:val="Informaes"/>
    <w:rsid w:val="00762C13"/>
    <w:rPr>
      <w:rFonts w:ascii="Arial" w:cs="Arial" w:hAnsi="Arial"/>
      <w:b w:val="1"/>
      <w:bCs w:val="1"/>
      <w:kern w:val="2"/>
      <w:sz w:val="24"/>
      <w:szCs w:val="24"/>
      <w:lang w:val="pt-BR"/>
    </w:rPr>
  </w:style>
  <w:style w:type="paragraph" w:styleId="TituloProex" w:customStyle="1">
    <w:name w:val="Titulo Proex"/>
    <w:basedOn w:val="Ttulo1"/>
    <w:link w:val="TituloProexChar"/>
    <w:qFormat w:val="1"/>
    <w:rsid w:val="00762C13"/>
    <w:pPr>
      <w:widowControl w:val="1"/>
      <w:spacing w:after="80" w:before="360" w:line="278" w:lineRule="auto"/>
      <w:jc w:val="center"/>
    </w:pPr>
    <w:rPr>
      <w:rFonts w:ascii="Arial" w:cs="Arial" w:hAnsi="Arial"/>
      <w:b w:val="1"/>
      <w:bCs w:val="1"/>
      <w:kern w:val="2"/>
      <w:sz w:val="24"/>
      <w:szCs w:val="24"/>
      <w:lang w:val="pt-BR"/>
    </w:rPr>
  </w:style>
  <w:style w:type="character" w:styleId="TituloProexChar" w:customStyle="1">
    <w:name w:val="Titulo Proex Char"/>
    <w:basedOn w:val="Ttulo1Char"/>
    <w:link w:val="TituloProex"/>
    <w:rsid w:val="00762C13"/>
    <w:rPr>
      <w:rFonts w:ascii="Arial" w:cs="Arial" w:hAnsi="Arial" w:eastAsiaTheme="majorEastAsia"/>
      <w:b w:val="1"/>
      <w:bCs w:val="1"/>
      <w:color w:val="365f91" w:themeColor="accent1" w:themeShade="0000BF"/>
      <w:kern w:val="2"/>
      <w:sz w:val="24"/>
      <w:szCs w:val="24"/>
      <w:lang w:val="pt-BR"/>
    </w:rPr>
  </w:style>
  <w:style w:type="character" w:styleId="Ttulo1Char" w:customStyle="1">
    <w:name w:val="Título 1 Char"/>
    <w:basedOn w:val="Fontepargpadro"/>
    <w:link w:val="Ttulo1"/>
    <w:uiPriority w:val="9"/>
    <w:rsid w:val="00762C13"/>
    <w:rPr>
      <w:rFonts w:asciiTheme="majorHAnsi" w:cstheme="majorBidi" w:eastAsiaTheme="majorEastAsia" w:hAnsiTheme="majorHAnsi"/>
      <w:color w:val="365f91" w:themeColor="accent1" w:themeShade="0000BF"/>
      <w:sz w:val="32"/>
      <w:szCs w:val="32"/>
      <w:lang w:val="pt-PT"/>
    </w:rPr>
  </w:style>
  <w:style w:type="paragraph" w:styleId="Legenda">
    <w:name w:val="caption"/>
    <w:basedOn w:val="Normal"/>
    <w:next w:val="Normal"/>
    <w:qFormat w:val="1"/>
    <w:rsid w:val="00382672"/>
    <w:pPr>
      <w:widowControl w:val="1"/>
    </w:pPr>
    <w:rPr>
      <w:rFonts w:ascii="Times New Roman" w:cs="Times New Roman" w:eastAsia="Times New Roman" w:hAnsi="Times New Roman"/>
      <w:sz w:val="20"/>
      <w:szCs w:val="20"/>
      <w:lang w:val="it-IT"/>
    </w:rPr>
  </w:style>
  <w:style w:type="character" w:styleId="Hyperlink">
    <w:name w:val="Hyperlink"/>
    <w:semiHidden w:val="1"/>
    <w:rsid w:val="00382672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382672"/>
    <w:pPr>
      <w:widowControl w:val="1"/>
    </w:pPr>
    <w:rPr>
      <w:rFonts w:ascii="Times New Roman" w:cs="Times New Roman" w:eastAsia="Times New Roman" w:hAnsi="Times New Roman"/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382672"/>
    <w:rPr>
      <w:rFonts w:ascii="Times New Roman" w:cs="Times New Roman" w:eastAsia="Times New Roman" w:hAnsi="Times New Roman"/>
      <w:sz w:val="20"/>
      <w:szCs w:val="20"/>
      <w:lang w:eastAsia="pt-BR" w:val="pt-PT"/>
    </w:rPr>
  </w:style>
  <w:style w:type="character" w:styleId="Refdenotaderodap">
    <w:name w:val="footnote reference"/>
    <w:uiPriority w:val="99"/>
    <w:semiHidden w:val="1"/>
    <w:unhideWhenUsed w:val="1"/>
    <w:rsid w:val="00382672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jpg"/><Relationship Id="rId3" Type="http://schemas.openxmlformats.org/officeDocument/2006/relationships/image" Target="media/image4.png"/><Relationship Id="rId4" Type="http://schemas.openxmlformats.org/officeDocument/2006/relationships/image" Target="media/image3.png"/><Relationship Id="rId5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oAsFPQyTeXqYnr8vWlAj8bu+Gw==">CgMxLjA4AHIhMTVoNE1BU3QxdklsTW9kX1d6ajd0TmVRblRhdEZqNFlu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2026-01-06T11:21:00Z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2023-09-12T00:00:00Z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2023-09-12T00:00:00Z</vt:lpwstr>
  </property>
</Properties>
</file>