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E2B0B" w14:textId="4A6532B6" w:rsidR="00DB4150" w:rsidRDefault="00B16874">
      <w:pPr>
        <w:spacing w:line="360" w:lineRule="auto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8.Direitos Humanos e Estudos afro-brasileiros e africanos</w:t>
      </w:r>
    </w:p>
    <w:p w14:paraId="383E2B0D" w14:textId="77777777" w:rsidR="00DB4150" w:rsidRDefault="00DB4150">
      <w:pPr>
        <w:rPr>
          <w:sz w:val="24"/>
          <w:szCs w:val="24"/>
        </w:rPr>
      </w:pPr>
    </w:p>
    <w:p w14:paraId="383E2B0E" w14:textId="6EF85478" w:rsidR="00DB4150" w:rsidRDefault="00B168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Antirracismo e defesa dos direitos humanos voltados à infância e juventude: experiência de cooperação Sul-Sul do projeto </w:t>
      </w:r>
      <w:r w:rsidR="0066405A">
        <w:rPr>
          <w:b/>
          <w:bCs/>
          <w:sz w:val="28"/>
          <w:szCs w:val="28"/>
        </w:rPr>
        <w:t xml:space="preserve">de extensão </w:t>
      </w:r>
      <w:r>
        <w:rPr>
          <w:b/>
          <w:bCs/>
          <w:sz w:val="28"/>
          <w:szCs w:val="28"/>
        </w:rPr>
        <w:t>Aquilombando a Universidade</w:t>
      </w:r>
    </w:p>
    <w:p w14:paraId="383E2B0F" w14:textId="77777777" w:rsidR="00DB4150" w:rsidRDefault="00DB4150">
      <w:pPr>
        <w:jc w:val="center"/>
        <w:rPr>
          <w:sz w:val="24"/>
          <w:szCs w:val="24"/>
        </w:rPr>
      </w:pPr>
    </w:p>
    <w:p w14:paraId="383E2B17" w14:textId="77777777" w:rsidR="00DB4150" w:rsidRPr="007B7DD6" w:rsidRDefault="00DB4150">
      <w:pPr>
        <w:jc w:val="both"/>
        <w:rPr>
          <w:sz w:val="24"/>
          <w:szCs w:val="24"/>
        </w:rPr>
      </w:pPr>
    </w:p>
    <w:p w14:paraId="383E2B18" w14:textId="36B8CDD8" w:rsidR="00DB4150" w:rsidRDefault="00B16874">
      <w:pPr>
        <w:tabs>
          <w:tab w:val="left" w:pos="1418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Resumo</w:t>
      </w:r>
      <w:r>
        <w:rPr>
          <w:sz w:val="24"/>
          <w:szCs w:val="24"/>
        </w:rPr>
        <w:t xml:space="preserve">. </w:t>
      </w:r>
      <w:r w:rsidR="00763119">
        <w:rPr>
          <w:sz w:val="24"/>
          <w:szCs w:val="24"/>
        </w:rPr>
        <w:t>Apresentamos</w:t>
      </w:r>
      <w:r>
        <w:rPr>
          <w:sz w:val="24"/>
          <w:szCs w:val="24"/>
        </w:rPr>
        <w:t xml:space="preserve"> a experiência do projeto “Antirracismo e Defesa dos Direitos Humanos voltados à Infância e Juventude: pontes entre pós-graduação, extensão e internacionalização Sul-Sul”, desenvolvido como desdobramento do projeto “Aquilombando a Universidade: fluxos de educação e resistências Sul-Sul”</w:t>
      </w:r>
      <w:r w:rsidR="00FD0517">
        <w:rPr>
          <w:sz w:val="24"/>
          <w:szCs w:val="24"/>
        </w:rPr>
        <w:t xml:space="preserve"> - UEL</w:t>
      </w:r>
      <w:r>
        <w:rPr>
          <w:sz w:val="24"/>
          <w:szCs w:val="24"/>
        </w:rPr>
        <w:t xml:space="preserve">. </w:t>
      </w:r>
      <w:r w:rsidR="00A3583F">
        <w:rPr>
          <w:sz w:val="24"/>
          <w:szCs w:val="24"/>
        </w:rPr>
        <w:t>Articulamos</w:t>
      </w:r>
      <w:r>
        <w:rPr>
          <w:sz w:val="24"/>
          <w:szCs w:val="24"/>
        </w:rPr>
        <w:t xml:space="preserve"> formação docente, extensão universitária e cooperação com países africanos de língua oficial portuguesa, com ênfase na práxis antirracista e na </w:t>
      </w:r>
      <w:r w:rsidR="00A3583F">
        <w:rPr>
          <w:sz w:val="24"/>
          <w:szCs w:val="24"/>
        </w:rPr>
        <w:t xml:space="preserve">luta por </w:t>
      </w:r>
      <w:r>
        <w:rPr>
          <w:sz w:val="24"/>
          <w:szCs w:val="24"/>
        </w:rPr>
        <w:t xml:space="preserve"> direitos de crianças e adolescentes. </w:t>
      </w:r>
      <w:r w:rsidR="002D150C">
        <w:rPr>
          <w:sz w:val="24"/>
          <w:szCs w:val="24"/>
        </w:rPr>
        <w:t>Realizamos</w:t>
      </w:r>
      <w:r>
        <w:rPr>
          <w:sz w:val="24"/>
          <w:szCs w:val="24"/>
        </w:rPr>
        <w:t xml:space="preserve"> cursos presenciais e online, produção de cartilha e intercâmbio acadêmico, o projeto envolveu estudantes, docentes e instituições do Brasil, Angola e Moçambique, evidenciando a potência das trocas horizontais no eixo Sul-Sul.</w:t>
      </w:r>
    </w:p>
    <w:p w14:paraId="383E2B19" w14:textId="77777777" w:rsidR="00DB4150" w:rsidRDefault="00DB4150">
      <w:pPr>
        <w:tabs>
          <w:tab w:val="left" w:pos="1418"/>
        </w:tabs>
        <w:jc w:val="both"/>
        <w:rPr>
          <w:sz w:val="24"/>
          <w:szCs w:val="24"/>
        </w:rPr>
      </w:pPr>
    </w:p>
    <w:p w14:paraId="383E2B1A" w14:textId="77777777" w:rsidR="00DB4150" w:rsidRDefault="00B16874">
      <w:pPr>
        <w:tabs>
          <w:tab w:val="left" w:pos="1418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Palavras-chave</w:t>
      </w:r>
      <w:r>
        <w:rPr>
          <w:sz w:val="24"/>
          <w:szCs w:val="24"/>
        </w:rPr>
        <w:t>: PALOP; Internacionalização; Extensão Universitária; Educação em direitos humanos; Pós-Graduação</w:t>
      </w:r>
    </w:p>
    <w:p w14:paraId="383E2B1B" w14:textId="77777777" w:rsidR="00DB4150" w:rsidRDefault="00DB4150">
      <w:pPr>
        <w:tabs>
          <w:tab w:val="left" w:pos="1418"/>
        </w:tabs>
        <w:jc w:val="both"/>
        <w:rPr>
          <w:sz w:val="24"/>
          <w:szCs w:val="24"/>
        </w:rPr>
      </w:pPr>
    </w:p>
    <w:p w14:paraId="383E2B1C" w14:textId="231B9683" w:rsidR="00DB4150" w:rsidRDefault="00B16874">
      <w:pPr>
        <w:tabs>
          <w:tab w:val="left" w:pos="1418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Abstract</w:t>
      </w:r>
      <w:r>
        <w:rPr>
          <w:sz w:val="24"/>
          <w:szCs w:val="24"/>
        </w:rPr>
        <w:t xml:space="preserve">: </w:t>
      </w:r>
      <w:proofErr w:type="spellStart"/>
      <w:r w:rsidR="003F6AE3" w:rsidRPr="003F6AE3">
        <w:rPr>
          <w:sz w:val="24"/>
          <w:szCs w:val="24"/>
        </w:rPr>
        <w:t>We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present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the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experience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of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the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project</w:t>
      </w:r>
      <w:proofErr w:type="spellEnd"/>
      <w:r w:rsidR="003F6AE3" w:rsidRPr="003F6AE3">
        <w:rPr>
          <w:sz w:val="24"/>
          <w:szCs w:val="24"/>
        </w:rPr>
        <w:t xml:space="preserve"> “</w:t>
      </w:r>
      <w:proofErr w:type="spellStart"/>
      <w:r w:rsidR="003F6AE3" w:rsidRPr="003F6AE3">
        <w:rPr>
          <w:sz w:val="24"/>
          <w:szCs w:val="24"/>
        </w:rPr>
        <w:t>Anti-racism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and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the</w:t>
      </w:r>
      <w:proofErr w:type="spellEnd"/>
      <w:r w:rsidR="003F6AE3" w:rsidRPr="003F6AE3">
        <w:rPr>
          <w:sz w:val="24"/>
          <w:szCs w:val="24"/>
        </w:rPr>
        <w:t xml:space="preserve"> Defense </w:t>
      </w:r>
      <w:proofErr w:type="spellStart"/>
      <w:r w:rsidR="003F6AE3" w:rsidRPr="003F6AE3">
        <w:rPr>
          <w:sz w:val="24"/>
          <w:szCs w:val="24"/>
        </w:rPr>
        <w:t>of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Human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Rights</w:t>
      </w:r>
      <w:proofErr w:type="spellEnd"/>
      <w:r w:rsidR="003F6AE3" w:rsidRPr="003F6AE3">
        <w:rPr>
          <w:sz w:val="24"/>
          <w:szCs w:val="24"/>
        </w:rPr>
        <w:t xml:space="preserve"> for </w:t>
      </w:r>
      <w:proofErr w:type="spellStart"/>
      <w:r w:rsidR="003F6AE3" w:rsidRPr="003F6AE3">
        <w:rPr>
          <w:sz w:val="24"/>
          <w:szCs w:val="24"/>
        </w:rPr>
        <w:t>Children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and</w:t>
      </w:r>
      <w:proofErr w:type="spellEnd"/>
      <w:r w:rsidR="003F6AE3" w:rsidRPr="003F6AE3">
        <w:rPr>
          <w:sz w:val="24"/>
          <w:szCs w:val="24"/>
        </w:rPr>
        <w:t xml:space="preserve"> Youth: bridges </w:t>
      </w:r>
      <w:proofErr w:type="spellStart"/>
      <w:r w:rsidR="003F6AE3" w:rsidRPr="003F6AE3">
        <w:rPr>
          <w:sz w:val="24"/>
          <w:szCs w:val="24"/>
        </w:rPr>
        <w:t>between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graduate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studies</w:t>
      </w:r>
      <w:proofErr w:type="spellEnd"/>
      <w:r w:rsidR="003F6AE3" w:rsidRPr="003F6AE3">
        <w:rPr>
          <w:sz w:val="24"/>
          <w:szCs w:val="24"/>
        </w:rPr>
        <w:t xml:space="preserve">, </w:t>
      </w:r>
      <w:proofErr w:type="spellStart"/>
      <w:r w:rsidR="003F6AE3" w:rsidRPr="003F6AE3">
        <w:rPr>
          <w:sz w:val="24"/>
          <w:szCs w:val="24"/>
        </w:rPr>
        <w:t>extension</w:t>
      </w:r>
      <w:proofErr w:type="spellEnd"/>
      <w:r w:rsidR="003F6AE3" w:rsidRPr="003F6AE3">
        <w:rPr>
          <w:sz w:val="24"/>
          <w:szCs w:val="24"/>
        </w:rPr>
        <w:t xml:space="preserve">, </w:t>
      </w:r>
      <w:proofErr w:type="spellStart"/>
      <w:r w:rsidR="003F6AE3" w:rsidRPr="003F6AE3">
        <w:rPr>
          <w:sz w:val="24"/>
          <w:szCs w:val="24"/>
        </w:rPr>
        <w:t>and</w:t>
      </w:r>
      <w:proofErr w:type="spellEnd"/>
      <w:r w:rsidR="003F6AE3" w:rsidRPr="003F6AE3">
        <w:rPr>
          <w:sz w:val="24"/>
          <w:szCs w:val="24"/>
        </w:rPr>
        <w:t xml:space="preserve"> South–South </w:t>
      </w:r>
      <w:proofErr w:type="spellStart"/>
      <w:r w:rsidR="003F6AE3" w:rsidRPr="003F6AE3">
        <w:rPr>
          <w:sz w:val="24"/>
          <w:szCs w:val="24"/>
        </w:rPr>
        <w:t>internationalization</w:t>
      </w:r>
      <w:proofErr w:type="spellEnd"/>
      <w:r w:rsidR="003F6AE3" w:rsidRPr="003F6AE3">
        <w:rPr>
          <w:sz w:val="24"/>
          <w:szCs w:val="24"/>
        </w:rPr>
        <w:t xml:space="preserve">,” </w:t>
      </w:r>
      <w:proofErr w:type="spellStart"/>
      <w:r w:rsidR="003F6AE3" w:rsidRPr="003F6AE3">
        <w:rPr>
          <w:sz w:val="24"/>
          <w:szCs w:val="24"/>
        </w:rPr>
        <w:t>developed</w:t>
      </w:r>
      <w:proofErr w:type="spellEnd"/>
      <w:r w:rsidR="003F6AE3" w:rsidRPr="003F6AE3">
        <w:rPr>
          <w:sz w:val="24"/>
          <w:szCs w:val="24"/>
        </w:rPr>
        <w:t xml:space="preserve"> as </w:t>
      </w:r>
      <w:proofErr w:type="spellStart"/>
      <w:r w:rsidR="003F6AE3" w:rsidRPr="003F6AE3">
        <w:rPr>
          <w:sz w:val="24"/>
          <w:szCs w:val="24"/>
        </w:rPr>
        <w:t>an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extension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of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the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project</w:t>
      </w:r>
      <w:proofErr w:type="spellEnd"/>
      <w:r w:rsidR="003F6AE3" w:rsidRPr="003F6AE3">
        <w:rPr>
          <w:sz w:val="24"/>
          <w:szCs w:val="24"/>
        </w:rPr>
        <w:t xml:space="preserve"> “Aquilombando a Universidade: </w:t>
      </w:r>
      <w:proofErr w:type="spellStart"/>
      <w:r w:rsidR="003F6AE3" w:rsidRPr="003F6AE3">
        <w:rPr>
          <w:sz w:val="24"/>
          <w:szCs w:val="24"/>
        </w:rPr>
        <w:t>flows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of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education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and</w:t>
      </w:r>
      <w:proofErr w:type="spellEnd"/>
      <w:r w:rsidR="003F6AE3" w:rsidRPr="003F6AE3">
        <w:rPr>
          <w:sz w:val="24"/>
          <w:szCs w:val="24"/>
        </w:rPr>
        <w:t xml:space="preserve"> South–South </w:t>
      </w:r>
      <w:proofErr w:type="spellStart"/>
      <w:r w:rsidR="003F6AE3" w:rsidRPr="003F6AE3">
        <w:rPr>
          <w:sz w:val="24"/>
          <w:szCs w:val="24"/>
        </w:rPr>
        <w:t>resistances</w:t>
      </w:r>
      <w:proofErr w:type="spellEnd"/>
      <w:r w:rsidR="003F6AE3" w:rsidRPr="003F6AE3">
        <w:rPr>
          <w:sz w:val="24"/>
          <w:szCs w:val="24"/>
        </w:rPr>
        <w:t xml:space="preserve">” </w:t>
      </w:r>
      <w:proofErr w:type="spellStart"/>
      <w:r w:rsidR="003F6AE3" w:rsidRPr="003F6AE3">
        <w:rPr>
          <w:sz w:val="24"/>
          <w:szCs w:val="24"/>
        </w:rPr>
        <w:t>at</w:t>
      </w:r>
      <w:proofErr w:type="spellEnd"/>
      <w:r w:rsidR="003F6AE3" w:rsidRPr="003F6AE3">
        <w:rPr>
          <w:sz w:val="24"/>
          <w:szCs w:val="24"/>
        </w:rPr>
        <w:t xml:space="preserve"> UEL. The </w:t>
      </w:r>
      <w:proofErr w:type="spellStart"/>
      <w:r w:rsidR="003F6AE3" w:rsidRPr="003F6AE3">
        <w:rPr>
          <w:sz w:val="24"/>
          <w:szCs w:val="24"/>
        </w:rPr>
        <w:t>initiative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articulates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teacher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education</w:t>
      </w:r>
      <w:proofErr w:type="spellEnd"/>
      <w:r w:rsidR="003F6AE3" w:rsidRPr="003F6AE3">
        <w:rPr>
          <w:sz w:val="24"/>
          <w:szCs w:val="24"/>
        </w:rPr>
        <w:t xml:space="preserve">, </w:t>
      </w:r>
      <w:proofErr w:type="spellStart"/>
      <w:r w:rsidR="003F6AE3" w:rsidRPr="003F6AE3">
        <w:rPr>
          <w:sz w:val="24"/>
          <w:szCs w:val="24"/>
        </w:rPr>
        <w:t>university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extension</w:t>
      </w:r>
      <w:proofErr w:type="spellEnd"/>
      <w:r w:rsidR="003F6AE3" w:rsidRPr="003F6AE3">
        <w:rPr>
          <w:sz w:val="24"/>
          <w:szCs w:val="24"/>
        </w:rPr>
        <w:t xml:space="preserve">, </w:t>
      </w:r>
      <w:proofErr w:type="spellStart"/>
      <w:r w:rsidR="003F6AE3" w:rsidRPr="003F6AE3">
        <w:rPr>
          <w:sz w:val="24"/>
          <w:szCs w:val="24"/>
        </w:rPr>
        <w:t>and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cooperation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with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Portuguese-speaking</w:t>
      </w:r>
      <w:proofErr w:type="spellEnd"/>
      <w:r w:rsidR="003F6AE3" w:rsidRPr="003F6AE3">
        <w:rPr>
          <w:sz w:val="24"/>
          <w:szCs w:val="24"/>
        </w:rPr>
        <w:t xml:space="preserve"> African countries, </w:t>
      </w:r>
      <w:proofErr w:type="spellStart"/>
      <w:r w:rsidR="003F6AE3" w:rsidRPr="003F6AE3">
        <w:rPr>
          <w:sz w:val="24"/>
          <w:szCs w:val="24"/>
        </w:rPr>
        <w:t>emphasizing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anti-racist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praxis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and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the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struggle</w:t>
      </w:r>
      <w:proofErr w:type="spellEnd"/>
      <w:r w:rsidR="003F6AE3" w:rsidRPr="003F6AE3">
        <w:rPr>
          <w:sz w:val="24"/>
          <w:szCs w:val="24"/>
        </w:rPr>
        <w:t xml:space="preserve"> for </w:t>
      </w:r>
      <w:proofErr w:type="spellStart"/>
      <w:r w:rsidR="003F6AE3" w:rsidRPr="003F6AE3">
        <w:rPr>
          <w:sz w:val="24"/>
          <w:szCs w:val="24"/>
        </w:rPr>
        <w:t>the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rights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of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children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and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adolescents</w:t>
      </w:r>
      <w:proofErr w:type="spellEnd"/>
      <w:r w:rsidR="003F6AE3" w:rsidRPr="003F6AE3">
        <w:rPr>
          <w:sz w:val="24"/>
          <w:szCs w:val="24"/>
        </w:rPr>
        <w:t xml:space="preserve">. </w:t>
      </w:r>
      <w:proofErr w:type="spellStart"/>
      <w:r w:rsidR="003F6AE3" w:rsidRPr="003F6AE3">
        <w:rPr>
          <w:sz w:val="24"/>
          <w:szCs w:val="24"/>
        </w:rPr>
        <w:t>Through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in-person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and</w:t>
      </w:r>
      <w:proofErr w:type="spellEnd"/>
      <w:r w:rsidR="003F6AE3" w:rsidRPr="003F6AE3">
        <w:rPr>
          <w:sz w:val="24"/>
          <w:szCs w:val="24"/>
        </w:rPr>
        <w:t xml:space="preserve"> online </w:t>
      </w:r>
      <w:proofErr w:type="spellStart"/>
      <w:r w:rsidR="003F6AE3" w:rsidRPr="003F6AE3">
        <w:rPr>
          <w:sz w:val="24"/>
          <w:szCs w:val="24"/>
        </w:rPr>
        <w:t>courses</w:t>
      </w:r>
      <w:proofErr w:type="spellEnd"/>
      <w:r w:rsidR="003F6AE3" w:rsidRPr="003F6AE3">
        <w:rPr>
          <w:sz w:val="24"/>
          <w:szCs w:val="24"/>
        </w:rPr>
        <w:t xml:space="preserve">, </w:t>
      </w:r>
      <w:proofErr w:type="spellStart"/>
      <w:r w:rsidR="003F6AE3" w:rsidRPr="003F6AE3">
        <w:rPr>
          <w:sz w:val="24"/>
          <w:szCs w:val="24"/>
        </w:rPr>
        <w:t>the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production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of</w:t>
      </w:r>
      <w:proofErr w:type="spellEnd"/>
      <w:r w:rsidR="003F6AE3" w:rsidRPr="003F6AE3">
        <w:rPr>
          <w:sz w:val="24"/>
          <w:szCs w:val="24"/>
        </w:rPr>
        <w:t xml:space="preserve"> a handbook, </w:t>
      </w:r>
      <w:proofErr w:type="spellStart"/>
      <w:r w:rsidR="003F6AE3" w:rsidRPr="003F6AE3">
        <w:rPr>
          <w:sz w:val="24"/>
          <w:szCs w:val="24"/>
        </w:rPr>
        <w:t>and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academic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exchange</w:t>
      </w:r>
      <w:proofErr w:type="spellEnd"/>
      <w:r w:rsidR="003F6AE3" w:rsidRPr="003F6AE3">
        <w:rPr>
          <w:sz w:val="24"/>
          <w:szCs w:val="24"/>
        </w:rPr>
        <w:t xml:space="preserve">, </w:t>
      </w:r>
      <w:proofErr w:type="spellStart"/>
      <w:r w:rsidR="003F6AE3" w:rsidRPr="003F6AE3">
        <w:rPr>
          <w:sz w:val="24"/>
          <w:szCs w:val="24"/>
        </w:rPr>
        <w:t>the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project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engaged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students</w:t>
      </w:r>
      <w:proofErr w:type="spellEnd"/>
      <w:r w:rsidR="003F6AE3" w:rsidRPr="003F6AE3">
        <w:rPr>
          <w:sz w:val="24"/>
          <w:szCs w:val="24"/>
        </w:rPr>
        <w:t xml:space="preserve">, </w:t>
      </w:r>
      <w:proofErr w:type="spellStart"/>
      <w:r w:rsidR="003F6AE3" w:rsidRPr="003F6AE3">
        <w:rPr>
          <w:sz w:val="24"/>
          <w:szCs w:val="24"/>
        </w:rPr>
        <w:t>faculty</w:t>
      </w:r>
      <w:proofErr w:type="spellEnd"/>
      <w:r w:rsidR="003F6AE3" w:rsidRPr="003F6AE3">
        <w:rPr>
          <w:sz w:val="24"/>
          <w:szCs w:val="24"/>
        </w:rPr>
        <w:t xml:space="preserve">, </w:t>
      </w:r>
      <w:proofErr w:type="spellStart"/>
      <w:r w:rsidR="003F6AE3" w:rsidRPr="003F6AE3">
        <w:rPr>
          <w:sz w:val="24"/>
          <w:szCs w:val="24"/>
        </w:rPr>
        <w:t>and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institutions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from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Brazil</w:t>
      </w:r>
      <w:proofErr w:type="spellEnd"/>
      <w:r w:rsidR="003F6AE3" w:rsidRPr="003F6AE3">
        <w:rPr>
          <w:sz w:val="24"/>
          <w:szCs w:val="24"/>
        </w:rPr>
        <w:t xml:space="preserve">, Angola, </w:t>
      </w:r>
      <w:proofErr w:type="spellStart"/>
      <w:r w:rsidR="003F6AE3" w:rsidRPr="003F6AE3">
        <w:rPr>
          <w:sz w:val="24"/>
          <w:szCs w:val="24"/>
        </w:rPr>
        <w:t>and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Mozambique</w:t>
      </w:r>
      <w:proofErr w:type="spellEnd"/>
      <w:r w:rsidR="003F6AE3" w:rsidRPr="003F6AE3">
        <w:rPr>
          <w:sz w:val="24"/>
          <w:szCs w:val="24"/>
        </w:rPr>
        <w:t xml:space="preserve">, </w:t>
      </w:r>
      <w:proofErr w:type="spellStart"/>
      <w:r w:rsidR="003F6AE3" w:rsidRPr="003F6AE3">
        <w:rPr>
          <w:sz w:val="24"/>
          <w:szCs w:val="24"/>
        </w:rPr>
        <w:t>highlighting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the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strength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of</w:t>
      </w:r>
      <w:proofErr w:type="spellEnd"/>
      <w:r w:rsidR="003F6AE3" w:rsidRPr="003F6AE3">
        <w:rPr>
          <w:sz w:val="24"/>
          <w:szCs w:val="24"/>
        </w:rPr>
        <w:t xml:space="preserve"> horizontal </w:t>
      </w:r>
      <w:proofErr w:type="spellStart"/>
      <w:r w:rsidR="003F6AE3" w:rsidRPr="003F6AE3">
        <w:rPr>
          <w:sz w:val="24"/>
          <w:szCs w:val="24"/>
        </w:rPr>
        <w:t>exchanges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within</w:t>
      </w:r>
      <w:proofErr w:type="spellEnd"/>
      <w:r w:rsidR="003F6AE3" w:rsidRPr="003F6AE3">
        <w:rPr>
          <w:sz w:val="24"/>
          <w:szCs w:val="24"/>
        </w:rPr>
        <w:t xml:space="preserve"> </w:t>
      </w:r>
      <w:proofErr w:type="spellStart"/>
      <w:r w:rsidR="003F6AE3" w:rsidRPr="003F6AE3">
        <w:rPr>
          <w:sz w:val="24"/>
          <w:szCs w:val="24"/>
        </w:rPr>
        <w:t>the</w:t>
      </w:r>
      <w:proofErr w:type="spellEnd"/>
      <w:r w:rsidR="003F6AE3" w:rsidRPr="003F6AE3">
        <w:rPr>
          <w:sz w:val="24"/>
          <w:szCs w:val="24"/>
        </w:rPr>
        <w:t xml:space="preserve"> South–South </w:t>
      </w:r>
      <w:proofErr w:type="spellStart"/>
      <w:r w:rsidR="003F6AE3" w:rsidRPr="003F6AE3">
        <w:rPr>
          <w:sz w:val="24"/>
          <w:szCs w:val="24"/>
        </w:rPr>
        <w:t>axis</w:t>
      </w:r>
      <w:proofErr w:type="spellEnd"/>
      <w:r w:rsidR="003F6AE3" w:rsidRPr="003F6AE3">
        <w:rPr>
          <w:sz w:val="24"/>
          <w:szCs w:val="24"/>
        </w:rPr>
        <w:t>.</w:t>
      </w:r>
    </w:p>
    <w:p w14:paraId="383E2B1D" w14:textId="77777777" w:rsidR="00DB4150" w:rsidRDefault="00DB4150">
      <w:pPr>
        <w:tabs>
          <w:tab w:val="left" w:pos="1418"/>
        </w:tabs>
        <w:jc w:val="both"/>
        <w:rPr>
          <w:b/>
          <w:bCs/>
          <w:sz w:val="24"/>
          <w:szCs w:val="24"/>
        </w:rPr>
      </w:pPr>
    </w:p>
    <w:p w14:paraId="383E2B1E" w14:textId="77777777" w:rsidR="00DB4150" w:rsidRDefault="00B16874">
      <w:pPr>
        <w:tabs>
          <w:tab w:val="left" w:pos="1418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Keywords</w:t>
      </w:r>
      <w:r>
        <w:rPr>
          <w:sz w:val="24"/>
          <w:szCs w:val="24"/>
        </w:rPr>
        <w:t xml:space="preserve">: PALOP; </w:t>
      </w:r>
      <w:proofErr w:type="spellStart"/>
      <w:r>
        <w:rPr>
          <w:sz w:val="24"/>
          <w:szCs w:val="24"/>
        </w:rPr>
        <w:t>Internationalization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University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Extension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Human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Rights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Graduate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Studies</w:t>
      </w:r>
      <w:proofErr w:type="spellEnd"/>
      <w:r>
        <w:rPr>
          <w:sz w:val="24"/>
          <w:szCs w:val="24"/>
        </w:rPr>
        <w:t>.</w:t>
      </w:r>
    </w:p>
    <w:p w14:paraId="383E2B1F" w14:textId="77777777" w:rsidR="00DB4150" w:rsidRDefault="00DB4150">
      <w:pPr>
        <w:tabs>
          <w:tab w:val="left" w:pos="1418"/>
        </w:tabs>
        <w:jc w:val="both"/>
        <w:rPr>
          <w:sz w:val="24"/>
          <w:szCs w:val="24"/>
        </w:rPr>
      </w:pPr>
    </w:p>
    <w:p w14:paraId="383E2B22" w14:textId="77777777" w:rsidR="00DB4150" w:rsidRDefault="00DB4150">
      <w:pPr>
        <w:jc w:val="both"/>
        <w:rPr>
          <w:sz w:val="24"/>
          <w:szCs w:val="24"/>
        </w:rPr>
      </w:pPr>
    </w:p>
    <w:p w14:paraId="383E2B23" w14:textId="77777777" w:rsidR="00DB4150" w:rsidRDefault="00B16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INTRODUÇÃO</w:t>
      </w:r>
      <w:r>
        <w:rPr>
          <w:color w:val="000000"/>
          <w:sz w:val="24"/>
          <w:szCs w:val="24"/>
        </w:rPr>
        <w:t xml:space="preserve"> </w:t>
      </w:r>
    </w:p>
    <w:p w14:paraId="383E2B24" w14:textId="77777777" w:rsidR="00DB4150" w:rsidRDefault="00DB4150">
      <w:pPr>
        <w:jc w:val="both"/>
        <w:rPr>
          <w:sz w:val="24"/>
          <w:szCs w:val="24"/>
        </w:rPr>
      </w:pPr>
    </w:p>
    <w:p w14:paraId="58DD6F04" w14:textId="77777777" w:rsidR="00B938AE" w:rsidRPr="0091779A" w:rsidRDefault="00B938AE" w:rsidP="0091779A">
      <w:pPr>
        <w:jc w:val="both"/>
        <w:rPr>
          <w:sz w:val="16"/>
          <w:szCs w:val="16"/>
        </w:rPr>
      </w:pPr>
    </w:p>
    <w:p w14:paraId="41F8CADD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É tempo de caminhar em fingido silêncio,</w:t>
      </w:r>
    </w:p>
    <w:p w14:paraId="7C49D816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e buscar o momento certo do grito,</w:t>
      </w:r>
    </w:p>
    <w:p w14:paraId="1F69BC0E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aparentar fechar um olho evitando o cisco</w:t>
      </w:r>
    </w:p>
    <w:p w14:paraId="1FC63C0C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e abrir escancaradamente o outro.</w:t>
      </w:r>
    </w:p>
    <w:p w14:paraId="6C16EACB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</w:p>
    <w:p w14:paraId="463A5DEA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É tempo de fazer os ouvidos moucos</w:t>
      </w:r>
    </w:p>
    <w:p w14:paraId="3554A2F0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para os vazios lero-leros,</w:t>
      </w:r>
    </w:p>
    <w:p w14:paraId="70FD1E52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e cuidar dos passos assuntando as vias</w:t>
      </w:r>
    </w:p>
    <w:p w14:paraId="2929D6E8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ir se vigiando atento, que o buraco é fundo.</w:t>
      </w:r>
    </w:p>
    <w:p w14:paraId="168B9498" w14:textId="3540E79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lastRenderedPageBreak/>
        <w:t xml:space="preserve"> </w:t>
      </w:r>
    </w:p>
    <w:p w14:paraId="03D0490A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É tempo de ninguém se soltar de ninguém,</w:t>
      </w:r>
    </w:p>
    <w:p w14:paraId="4562458B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mas olhar fundo na palma aberta</w:t>
      </w:r>
    </w:p>
    <w:p w14:paraId="788534F0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a alma de quem lhe oferece o gesto.</w:t>
      </w:r>
    </w:p>
    <w:p w14:paraId="01C35CF3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O laçar de mãos não pode ser algema</w:t>
      </w:r>
    </w:p>
    <w:p w14:paraId="04DE427A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e sim acertada tática, necessário esquema.</w:t>
      </w:r>
    </w:p>
    <w:p w14:paraId="4EF54B4B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</w:p>
    <w:p w14:paraId="33565EDA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É tempo de formar novos quilombos,</w:t>
      </w:r>
    </w:p>
    <w:p w14:paraId="70C4C75A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em qualquer lugar que estejamos,</w:t>
      </w:r>
    </w:p>
    <w:p w14:paraId="2BB5DEE8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e que venham os dias futuros,</w:t>
      </w:r>
    </w:p>
    <w:p w14:paraId="45638C5B" w14:textId="77777777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a mística quilombola persiste afirmando:</w:t>
      </w:r>
    </w:p>
    <w:p w14:paraId="04A3A9BA" w14:textId="50B835D8" w:rsidR="00B938AE" w:rsidRPr="0091779A" w:rsidRDefault="00B938AE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“</w:t>
      </w:r>
      <w:proofErr w:type="spellStart"/>
      <w:r w:rsidRPr="0091779A">
        <w:rPr>
          <w:sz w:val="20"/>
          <w:szCs w:val="20"/>
        </w:rPr>
        <w:t>a</w:t>
      </w:r>
      <w:proofErr w:type="spellEnd"/>
      <w:r w:rsidRPr="0091779A">
        <w:rPr>
          <w:sz w:val="20"/>
          <w:szCs w:val="20"/>
        </w:rPr>
        <w:t xml:space="preserve"> liberdade é uma luta constante”.</w:t>
      </w:r>
    </w:p>
    <w:p w14:paraId="10891783" w14:textId="77777777" w:rsidR="00B938AE" w:rsidRDefault="00B938AE" w:rsidP="0091779A">
      <w:pPr>
        <w:ind w:left="4536"/>
        <w:jc w:val="both"/>
        <w:rPr>
          <w:sz w:val="24"/>
          <w:szCs w:val="24"/>
        </w:rPr>
      </w:pPr>
    </w:p>
    <w:p w14:paraId="20B363B1" w14:textId="5ECC4DD5" w:rsidR="00B938AE" w:rsidRPr="0091779A" w:rsidRDefault="0091779A" w:rsidP="0091779A">
      <w:pPr>
        <w:ind w:left="4536"/>
        <w:jc w:val="both"/>
        <w:rPr>
          <w:sz w:val="20"/>
          <w:szCs w:val="20"/>
        </w:rPr>
      </w:pPr>
      <w:r w:rsidRPr="0091779A">
        <w:rPr>
          <w:sz w:val="20"/>
          <w:szCs w:val="20"/>
        </w:rPr>
        <w:t>Conceição Evaristo</w:t>
      </w:r>
    </w:p>
    <w:p w14:paraId="44A21609" w14:textId="77777777" w:rsidR="00B938AE" w:rsidRDefault="00B938AE">
      <w:pPr>
        <w:jc w:val="both"/>
        <w:rPr>
          <w:sz w:val="24"/>
          <w:szCs w:val="24"/>
        </w:rPr>
      </w:pPr>
    </w:p>
    <w:p w14:paraId="009DA43F" w14:textId="77777777" w:rsidR="00B938AE" w:rsidRDefault="00B938AE">
      <w:pPr>
        <w:jc w:val="both"/>
        <w:rPr>
          <w:sz w:val="24"/>
          <w:szCs w:val="24"/>
        </w:rPr>
      </w:pPr>
    </w:p>
    <w:p w14:paraId="020E7A20" w14:textId="77777777" w:rsidR="0034545F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Compreendemos que a articulação dialética entre as questões racial, de classe e de gênero é elemento central para a reprodução da sociabilidade capitalista. Como aponta Lélia Gonzalez (1984), racismo e sexismo operam de forma combinada, estruturando mecanismos de violência, opressão e violações dirigidas a diferentes segmentos da classe trabalhadora — população negra, povos indígenas, mulheres, crianças, adolescentes, jovens, pessoas LGBTQI+, pessoas com deficiência, entre outros. </w:t>
      </w:r>
    </w:p>
    <w:p w14:paraId="383E2B27" w14:textId="07F7062E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Nesse horizonte, </w:t>
      </w:r>
      <w:r w:rsidR="005E1C98">
        <w:rPr>
          <w:sz w:val="24"/>
          <w:szCs w:val="24"/>
        </w:rPr>
        <w:t>há que se considerar que o colonialismo, assentado no racismo e no patriarcado</w:t>
      </w:r>
      <w:r w:rsidR="008953F1">
        <w:rPr>
          <w:sz w:val="24"/>
          <w:szCs w:val="24"/>
        </w:rPr>
        <w:t>, divide o mundo em dois (Fanon, 2005)</w:t>
      </w:r>
      <w:r w:rsidR="002F29DB">
        <w:rPr>
          <w:sz w:val="24"/>
          <w:szCs w:val="24"/>
        </w:rPr>
        <w:t xml:space="preserve">, </w:t>
      </w:r>
      <w:r w:rsidR="00386C69">
        <w:rPr>
          <w:sz w:val="24"/>
          <w:szCs w:val="24"/>
        </w:rPr>
        <w:t xml:space="preserve">desumanizando </w:t>
      </w:r>
      <w:r w:rsidR="005D5DAF">
        <w:rPr>
          <w:sz w:val="24"/>
          <w:szCs w:val="24"/>
        </w:rPr>
        <w:t>aqueles considerados como o “resto”</w:t>
      </w:r>
      <w:r w:rsidR="00640082">
        <w:rPr>
          <w:sz w:val="24"/>
          <w:szCs w:val="24"/>
        </w:rPr>
        <w:t xml:space="preserve"> e </w:t>
      </w:r>
      <w:r w:rsidR="005D5DAF">
        <w:rPr>
          <w:sz w:val="24"/>
          <w:szCs w:val="24"/>
        </w:rPr>
        <w:t xml:space="preserve"> indigno de acessar aos direitos humanos (</w:t>
      </w:r>
      <w:proofErr w:type="spellStart"/>
      <w:r w:rsidR="005D5DAF">
        <w:rPr>
          <w:sz w:val="24"/>
          <w:szCs w:val="24"/>
        </w:rPr>
        <w:t>Mbembe</w:t>
      </w:r>
      <w:proofErr w:type="spellEnd"/>
      <w:r w:rsidR="008953F1">
        <w:rPr>
          <w:sz w:val="24"/>
          <w:szCs w:val="24"/>
        </w:rPr>
        <w:t>, 2014</w:t>
      </w:r>
      <w:r w:rsidR="005D5DAF">
        <w:rPr>
          <w:sz w:val="24"/>
          <w:szCs w:val="24"/>
        </w:rPr>
        <w:t xml:space="preserve">). </w:t>
      </w:r>
      <w:r>
        <w:rPr>
          <w:sz w:val="24"/>
          <w:szCs w:val="24"/>
        </w:rPr>
        <w:t>A sociedade moderna, portanto, é forjada no contexto do colonialismo, cuja lógica viabilizou a acumulação primitiva de capital que, por sua vez, fundamentou a consolidação do capitalismo como modo de produção (</w:t>
      </w:r>
      <w:r w:rsidR="004C4311">
        <w:rPr>
          <w:sz w:val="24"/>
          <w:szCs w:val="24"/>
        </w:rPr>
        <w:t>Marx, 1985; Williams, 2012</w:t>
      </w:r>
      <w:r>
        <w:rPr>
          <w:sz w:val="24"/>
          <w:szCs w:val="24"/>
        </w:rPr>
        <w:t xml:space="preserve">). </w:t>
      </w:r>
      <w:proofErr w:type="spellStart"/>
      <w:r>
        <w:rPr>
          <w:sz w:val="24"/>
          <w:szCs w:val="24"/>
        </w:rPr>
        <w:t>Quijano</w:t>
      </w:r>
      <w:proofErr w:type="spellEnd"/>
      <w:r>
        <w:rPr>
          <w:sz w:val="24"/>
          <w:szCs w:val="24"/>
        </w:rPr>
        <w:t xml:space="preserve"> (2005) destaca que a classificação racial da população, associada às identidades impostas aos povos colonizados submetidos ao sequestro, à escravização e ao trabalho não assalariado, consolidou a crença de que apenas os brancos seriam dignos de receber remuneração pelo trabalho. A essa estrutura somou-se a exploração predatória da natureza, associada ao uso do trabalho escravizado, que conferiu aos colonizadores privilégios nas relações mercantis e acelerou a acumulação de riquezas. Nas palavras de </w:t>
      </w:r>
      <w:proofErr w:type="spellStart"/>
      <w:r>
        <w:rPr>
          <w:sz w:val="24"/>
          <w:szCs w:val="24"/>
        </w:rPr>
        <w:t>Quijano</w:t>
      </w:r>
      <w:proofErr w:type="spellEnd"/>
      <w:r>
        <w:rPr>
          <w:sz w:val="24"/>
          <w:szCs w:val="24"/>
        </w:rPr>
        <w:t xml:space="preserve">, </w:t>
      </w:r>
    </w:p>
    <w:p w14:paraId="383E2B28" w14:textId="77777777" w:rsidR="00DB4150" w:rsidRDefault="00DB4150">
      <w:pPr>
        <w:widowControl/>
        <w:spacing w:line="360" w:lineRule="auto"/>
        <w:jc w:val="both"/>
        <w:rPr>
          <w:sz w:val="24"/>
          <w:szCs w:val="24"/>
        </w:rPr>
      </w:pPr>
    </w:p>
    <w:p w14:paraId="383E2B29" w14:textId="01A3085C" w:rsidR="00DB4150" w:rsidRDefault="00B16874">
      <w:pPr>
        <w:widowControl/>
        <w:ind w:left="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Essa colonialidade do controle do trabalho determinou a distribuição geográfica de cada uma das formas integradas no capitalismo mundial. Em outras palavras, determinou a geografia social do capitalismo: o capital, na relação social de controle do trabalho assalariado, era o eixo em torno do </w:t>
      </w:r>
      <w:r>
        <w:rPr>
          <w:sz w:val="20"/>
          <w:szCs w:val="20"/>
        </w:rPr>
        <w:lastRenderedPageBreak/>
        <w:t>qual se articulavam todas as demais formas de controle do trabalho, de seus recursos e de seus produtos. Isso o tornava dominante sobre todas elas e dava caráter capitalista ao conjunto de tal estrutura de controle do trabalho. Mas ao mesmo tempo, essa relação social específica foi geograficamente concentrada na Europa, sobretudo, e socialmente entre os europeus em todo o mundo do capitalismo. E nessa medida e dessa maneira, a Europa e o europeu se constituíram no centro do mundo capitalista (</w:t>
      </w:r>
      <w:proofErr w:type="spellStart"/>
      <w:r w:rsidR="004C4311">
        <w:rPr>
          <w:sz w:val="20"/>
          <w:szCs w:val="20"/>
        </w:rPr>
        <w:t>Quijano</w:t>
      </w:r>
      <w:proofErr w:type="spellEnd"/>
      <w:r>
        <w:rPr>
          <w:sz w:val="20"/>
          <w:szCs w:val="20"/>
        </w:rPr>
        <w:t>, 2005, p. 120).</w:t>
      </w:r>
    </w:p>
    <w:p w14:paraId="383E2B2A" w14:textId="77777777" w:rsidR="00DB4150" w:rsidRDefault="00DB4150">
      <w:pPr>
        <w:widowControl/>
        <w:spacing w:line="360" w:lineRule="auto"/>
        <w:jc w:val="both"/>
        <w:rPr>
          <w:sz w:val="24"/>
          <w:szCs w:val="24"/>
        </w:rPr>
      </w:pPr>
    </w:p>
    <w:p w14:paraId="383E2B2B" w14:textId="6D950C13" w:rsidR="00DB4150" w:rsidRDefault="00B16874" w:rsidP="008F25BD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3198F">
        <w:rPr>
          <w:sz w:val="24"/>
          <w:szCs w:val="24"/>
        </w:rPr>
        <w:t xml:space="preserve">Essa lógica </w:t>
      </w:r>
      <w:r w:rsidR="002E4A99">
        <w:rPr>
          <w:sz w:val="24"/>
          <w:szCs w:val="24"/>
        </w:rPr>
        <w:t>se materializa por meio do</w:t>
      </w:r>
      <w:r w:rsidR="0083198F">
        <w:rPr>
          <w:sz w:val="24"/>
          <w:szCs w:val="24"/>
        </w:rPr>
        <w:t xml:space="preserve"> racismo estrutural (Almeida, 2014; Almeida, 2018) e </w:t>
      </w:r>
      <w:r w:rsidR="002E4A99">
        <w:rPr>
          <w:sz w:val="24"/>
          <w:szCs w:val="24"/>
        </w:rPr>
        <w:t>ganha aspectos ideológicos a partir da perpetuação da</w:t>
      </w:r>
      <w:r w:rsidR="0083198F">
        <w:rPr>
          <w:sz w:val="24"/>
          <w:szCs w:val="24"/>
        </w:rPr>
        <w:t xml:space="preserve"> colonialidade (</w:t>
      </w:r>
      <w:proofErr w:type="spellStart"/>
      <w:r w:rsidR="0083198F">
        <w:rPr>
          <w:sz w:val="24"/>
          <w:szCs w:val="24"/>
        </w:rPr>
        <w:t>Quijano</w:t>
      </w:r>
      <w:proofErr w:type="spellEnd"/>
      <w:r w:rsidR="0083198F">
        <w:rPr>
          <w:sz w:val="24"/>
          <w:szCs w:val="24"/>
        </w:rPr>
        <w:t xml:space="preserve">, 2005; </w:t>
      </w:r>
      <w:proofErr w:type="spellStart"/>
      <w:r w:rsidR="0083198F">
        <w:rPr>
          <w:sz w:val="24"/>
          <w:szCs w:val="24"/>
        </w:rPr>
        <w:t>Grosfoguel</w:t>
      </w:r>
      <w:proofErr w:type="spellEnd"/>
      <w:r w:rsidR="0083198F">
        <w:rPr>
          <w:sz w:val="24"/>
          <w:szCs w:val="24"/>
        </w:rPr>
        <w:t>, 2019)</w:t>
      </w:r>
      <w:r w:rsidR="008F25BD">
        <w:rPr>
          <w:sz w:val="24"/>
          <w:szCs w:val="24"/>
        </w:rPr>
        <w:t xml:space="preserve">. Essas </w:t>
      </w:r>
      <w:r w:rsidR="0083198F">
        <w:rPr>
          <w:sz w:val="24"/>
          <w:szCs w:val="24"/>
        </w:rPr>
        <w:t>engrenagens que sustentam processos de exclusão, criminalização e genocídio da população negra e indígena no contexto contemporâneo.</w:t>
      </w:r>
      <w:r w:rsidR="008F25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conjuntura </w:t>
      </w:r>
      <w:r w:rsidR="008F25BD">
        <w:rPr>
          <w:sz w:val="24"/>
          <w:szCs w:val="24"/>
        </w:rPr>
        <w:t>atual</w:t>
      </w:r>
      <w:r>
        <w:rPr>
          <w:sz w:val="24"/>
          <w:szCs w:val="24"/>
        </w:rPr>
        <w:t>, a permanência da colonialidade articula-se aos efeitos do Estado neoliberal de cunho penal (</w:t>
      </w:r>
      <w:proofErr w:type="spellStart"/>
      <w:r>
        <w:rPr>
          <w:sz w:val="24"/>
          <w:szCs w:val="24"/>
        </w:rPr>
        <w:t>Wacquant</w:t>
      </w:r>
      <w:proofErr w:type="spellEnd"/>
      <w:r>
        <w:rPr>
          <w:sz w:val="24"/>
          <w:szCs w:val="24"/>
        </w:rPr>
        <w:t>, 2013), que promove o desmonte de sistemas de proteção social e redefine a gestão das expressões da questão social por meio de estratégias de controle e criminalização. Essa lógica sustenta e intensifica a “guerra às drogas” e o encarceramento em massa (Alexander, 2017), impactando de forma desproporcional jovens negros e pobres, e resultando no fenômeno do juvenicídio (Valenzuela, 201</w:t>
      </w:r>
      <w:r w:rsidR="004217B2">
        <w:rPr>
          <w:sz w:val="24"/>
          <w:szCs w:val="24"/>
        </w:rPr>
        <w:t>5</w:t>
      </w:r>
      <w:r>
        <w:rPr>
          <w:sz w:val="24"/>
          <w:szCs w:val="24"/>
        </w:rPr>
        <w:t>; Rocha, 2020).</w:t>
      </w:r>
    </w:p>
    <w:p w14:paraId="383E2B2C" w14:textId="5E9E84EE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experiência acumulada na articulação entre pesquisa e extensão evidenciou que as disputas em torno dos direitos humanos permanecem profundamente vinculadas à luta de classes, manifestando-se no embate entre forças de resistência e processos de desmonte (Trindade, 2011; Rocha, </w:t>
      </w:r>
      <w:r w:rsidR="0014637D">
        <w:rPr>
          <w:sz w:val="24"/>
          <w:szCs w:val="24"/>
        </w:rPr>
        <w:t>2021</w:t>
      </w:r>
      <w:r>
        <w:rPr>
          <w:sz w:val="24"/>
          <w:szCs w:val="24"/>
        </w:rPr>
        <w:t xml:space="preserve">). No Brasil, tais resistências remontam ao período colonial, quando o regime escravista português impôs a exploração dos povos originários e da população negra sequestrada do continente </w:t>
      </w:r>
      <w:r w:rsidRPr="00B84429">
        <w:rPr>
          <w:sz w:val="24"/>
          <w:szCs w:val="24"/>
        </w:rPr>
        <w:t>africano (Rocha, 202</w:t>
      </w:r>
      <w:r w:rsidR="00B84429" w:rsidRPr="00B84429">
        <w:rPr>
          <w:sz w:val="24"/>
          <w:szCs w:val="24"/>
        </w:rPr>
        <w:t>1</w:t>
      </w:r>
      <w:r w:rsidRPr="00B84429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383E2B2D" w14:textId="77777777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Nesse sentido, a categoria “</w:t>
      </w:r>
      <w:proofErr w:type="spellStart"/>
      <w:r>
        <w:rPr>
          <w:sz w:val="24"/>
          <w:szCs w:val="24"/>
        </w:rPr>
        <w:t>quilombagem</w:t>
      </w:r>
      <w:proofErr w:type="spellEnd"/>
      <w:r>
        <w:rPr>
          <w:sz w:val="24"/>
          <w:szCs w:val="24"/>
        </w:rPr>
        <w:t xml:space="preserve">”, desenvolvida por Clóvis Moura (1989), é central para compreender historicamente as formas de resistência negra e indígena, enquanto o conceito de “quilombismo”, formulado por Abdias do Nascimento (2016), contribui para pensar lutas e estratégias contemporâneas. Inserimos, nesse escopo, a perspectiva da </w:t>
      </w:r>
      <w:proofErr w:type="spellStart"/>
      <w:r>
        <w:rPr>
          <w:sz w:val="24"/>
          <w:szCs w:val="24"/>
        </w:rPr>
        <w:t>contracolonialidade</w:t>
      </w:r>
      <w:proofErr w:type="spellEnd"/>
      <w:r>
        <w:rPr>
          <w:sz w:val="24"/>
          <w:szCs w:val="24"/>
        </w:rPr>
        <w:t xml:space="preserve"> como ferramenta de fortalecimento de agendas e ações antirracistas, anticapitalistas, antipatriarcais e </w:t>
      </w:r>
      <w:proofErr w:type="spellStart"/>
      <w:r>
        <w:rPr>
          <w:sz w:val="24"/>
          <w:szCs w:val="24"/>
        </w:rPr>
        <w:t>antifóbicas</w:t>
      </w:r>
      <w:proofErr w:type="spellEnd"/>
      <w:r>
        <w:rPr>
          <w:sz w:val="24"/>
          <w:szCs w:val="24"/>
        </w:rPr>
        <w:t>.</w:t>
      </w:r>
    </w:p>
    <w:p w14:paraId="383E2B2E" w14:textId="77777777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Defendemos que aquilombar a universidade é preciso, pois historicamente sempre foi território ocupado por elites. As primeiras iniciativas de aquilombamento </w:t>
      </w:r>
      <w:r>
        <w:rPr>
          <w:sz w:val="24"/>
          <w:szCs w:val="24"/>
        </w:rPr>
        <w:lastRenderedPageBreak/>
        <w:t xml:space="preserve">das universidades brasileiras decorrem da implementação de políticas afirmativas e cotas étnico-raciais voltadas a estudantes negros e indígenas. Portanto, levar a universidade para fora de suas paredes é também </w:t>
      </w:r>
      <w:proofErr w:type="spellStart"/>
      <w:r>
        <w:rPr>
          <w:sz w:val="24"/>
          <w:szCs w:val="24"/>
        </w:rPr>
        <w:t>aquilombá-la</w:t>
      </w:r>
      <w:proofErr w:type="spellEnd"/>
      <w:r>
        <w:rPr>
          <w:sz w:val="24"/>
          <w:szCs w:val="24"/>
        </w:rPr>
        <w:t xml:space="preserve">, pois no processo da extensão universitária a troca é mútua.  Tudo isso permite a existência de uma diversidade epistêmica e possibilita intensas trocas e construções coletivas, pois: </w:t>
      </w:r>
    </w:p>
    <w:p w14:paraId="383E2B2F" w14:textId="77777777" w:rsidR="00DB4150" w:rsidRDefault="00DB4150">
      <w:pPr>
        <w:widowControl/>
        <w:spacing w:line="360" w:lineRule="auto"/>
        <w:ind w:firstLine="708"/>
        <w:jc w:val="both"/>
        <w:rPr>
          <w:sz w:val="24"/>
          <w:szCs w:val="24"/>
        </w:rPr>
      </w:pPr>
    </w:p>
    <w:p w14:paraId="383E2B30" w14:textId="01281155" w:rsidR="00DB4150" w:rsidRDefault="00B16874">
      <w:pPr>
        <w:widowControl/>
        <w:ind w:left="2268"/>
        <w:jc w:val="both"/>
        <w:rPr>
          <w:sz w:val="20"/>
          <w:szCs w:val="20"/>
        </w:rPr>
      </w:pPr>
      <w:r>
        <w:rPr>
          <w:sz w:val="20"/>
          <w:szCs w:val="20"/>
        </w:rPr>
        <w:t>Os diálogos e alianças sul-sul são importantes hoje mais do que nunca. Não podemos conceber uma mudança civilizatória sem contar com autores políticos aliados do mundo africano, asiático, latino-americano e do sul dentro do norte. [....]  (</w:t>
      </w:r>
      <w:proofErr w:type="spellStart"/>
      <w:r w:rsidR="004C4311">
        <w:rPr>
          <w:sz w:val="20"/>
          <w:szCs w:val="20"/>
        </w:rPr>
        <w:t>Grosfoguel</w:t>
      </w:r>
      <w:proofErr w:type="spellEnd"/>
      <w:r w:rsidR="004C4311">
        <w:rPr>
          <w:sz w:val="20"/>
          <w:szCs w:val="20"/>
        </w:rPr>
        <w:t xml:space="preserve">, </w:t>
      </w:r>
      <w:r>
        <w:rPr>
          <w:sz w:val="20"/>
          <w:szCs w:val="20"/>
        </w:rPr>
        <w:t>2019, p. 76).</w:t>
      </w:r>
    </w:p>
    <w:p w14:paraId="383E2B31" w14:textId="77777777" w:rsidR="00DB4150" w:rsidRDefault="00DB4150">
      <w:pPr>
        <w:widowControl/>
        <w:spacing w:line="360" w:lineRule="auto"/>
        <w:ind w:firstLine="708"/>
        <w:jc w:val="both"/>
        <w:rPr>
          <w:sz w:val="24"/>
          <w:szCs w:val="24"/>
        </w:rPr>
      </w:pPr>
    </w:p>
    <w:p w14:paraId="383E2B32" w14:textId="77777777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que nos levou a constatar a importância da busca de estratégias de fortalecimento de cooperação Sul – Sul a partir do desenvolvimento de extensão universitária. Entre 2021 e 2023, foi implementado o Projeto de Extensão e Ensino “Aquilombando a Universidade: fluxos de educação e resistências entre Brasil, Angola e Moçambique”, cuja experiência fomentou práticas significativas na promoção da luta antirracista e no fortalecimento das juventudes, além de viabilizar intercâmbios entre docentes e estudantes dos três países.</w:t>
      </w:r>
    </w:p>
    <w:p w14:paraId="383E2B33" w14:textId="77777777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Em 2024, o projeto foi renovado, passando a se chamar “Aquilombando a Universidade: fluxos de educação e resistências Sul-Sul”, com o objetivo de reafirmar o compromisso com o tripé da universidade pública. Tal vinculação reforça a compreensão de que as atividades de pesquisa devem estar intrinsecamente associadas à proposição de ações e compromissos que produzam impactos concretos na sociedade.</w:t>
      </w:r>
    </w:p>
    <w:p w14:paraId="383E2B34" w14:textId="77777777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 promover cursos de curta duração online e gratuitos voltados a educadores e estudantes dos países que compõem o PALOP - Países Africanos de Língua Oficial Portuguesa, o projeto acessa trocas epistêmicas, cultuais e acadêmicas. Essa interação nos permite a compreensão da práxis que envolve diáspora negra, o religar as relações abortadas pelo colonialismo. Uma retomada sobre a importância dos fluxos marítimos que foram invisibilizados na história do Brasil.   </w:t>
      </w:r>
    </w:p>
    <w:p w14:paraId="383E2B35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bookmarkStart w:id="0" w:name="_heading=h.hiosggall9i2" w:colFirst="0" w:colLast="0"/>
      <w:bookmarkEnd w:id="0"/>
      <w:r>
        <w:rPr>
          <w:color w:val="000000"/>
          <w:sz w:val="24"/>
          <w:szCs w:val="24"/>
        </w:rPr>
        <w:t xml:space="preserve">O artigo em questão apresenta a experiência dos Projeto Aquilombando a Universidade, com foco no subprojeto “Antirracismo e Defesa dos Direitos Humanos voltados à Infância e Juventude: pontes entre pós-graduação, extensão e internacionalização Sul-Sul”, vinculado a ele. O texto visa sistematizar a concepção, </w:t>
      </w:r>
      <w:r>
        <w:rPr>
          <w:color w:val="000000"/>
          <w:sz w:val="24"/>
          <w:szCs w:val="24"/>
        </w:rPr>
        <w:lastRenderedPageBreak/>
        <w:t>os objetivos e a metodologia de uma proposta que articula formação extensionista, internacionalização crítica e defesa dos direitos humanos. Inspirada na luta quilombola e nos fundamentos da práxis antirracista, a iniciativa busca conectar universidade, territórios periféricos e contextos africanos de forma horizontal. Que possamos aquilombar a universidade fortalecendo resistências e ampliando fluxos de uma educação crítica, antirracista, anticapitalista e antipatriarcal. Aquilombar é preciso!</w:t>
      </w:r>
    </w:p>
    <w:p w14:paraId="383E2B36" w14:textId="77777777" w:rsidR="00DB4150" w:rsidRDefault="00DB415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83E2B37" w14:textId="77777777" w:rsidR="00DB4150" w:rsidRDefault="00B1687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Primeiros passos do aquilombamento: experiência da primeira edição</w:t>
      </w:r>
    </w:p>
    <w:p w14:paraId="383E2B38" w14:textId="77777777" w:rsidR="00DB4150" w:rsidRDefault="00DB4150">
      <w:pPr>
        <w:widowControl/>
        <w:spacing w:line="360" w:lineRule="auto"/>
        <w:jc w:val="both"/>
        <w:rPr>
          <w:sz w:val="24"/>
          <w:szCs w:val="24"/>
        </w:rPr>
      </w:pPr>
    </w:p>
    <w:p w14:paraId="383E2B39" w14:textId="77777777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Projeto Aquilombando a Universidade foi elaborado no âmbito da Universidade Estadual de Londrina (UEL) com o propósito de fortalecer ações integradas de ensino, pesquisa e extensão voltadas à promoção dos direitos humanos, à luta antirracista e à cooperação acadêmica Sul–Sul, especialmente entre Brasil, Angola e Moçambique. Sua criação partiu do reconhecimento de que a universidade é um território de disputa simbólica e material e, portanto, deve ser também espaço de resistência, acolhimento e afirmação das identidades e culturas negras. A proposta esteve alinhada tanto às diretrizes do Plano Nacional de Educação quanto à Política Nacional de Promoção da Igualdade Racial, assumindo o compromisso com a democratização do acesso ao conhecimento e com a produção de saberes comprometidos com a transformação social.</w:t>
      </w:r>
    </w:p>
    <w:p w14:paraId="383E2B3A" w14:textId="77777777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trabalho se estruturou por meio de grupos de estudo, debates públicos, cursos, oficinas, produções culturais e materiais didáticos, combinando encontros virtuais e presenciais, com participação aberta à comunidade acadêmica e aos movimentos sociais. A metodologia adotada foi participativa, dialógica e crítica, inspirada na pedagogia </w:t>
      </w:r>
      <w:proofErr w:type="spellStart"/>
      <w:r>
        <w:rPr>
          <w:sz w:val="24"/>
          <w:szCs w:val="24"/>
        </w:rPr>
        <w:t>freireana</w:t>
      </w:r>
      <w:proofErr w:type="spellEnd"/>
      <w:r>
        <w:rPr>
          <w:sz w:val="24"/>
          <w:szCs w:val="24"/>
        </w:rPr>
        <w:t>, articulando dimensões de uma práxis educativa assentada no antirracismo e o projeto se estruturou em três frentes, interconectadas.</w:t>
      </w:r>
    </w:p>
    <w:p w14:paraId="383E2B3B" w14:textId="77777777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 primeira, denominada “Conhecer para Aquilombar”, dedicou-se à formação teórica por meio de grupos de estudo sobre direitos humanos, combate ao racismo, gênero, </w:t>
      </w:r>
      <w:proofErr w:type="spellStart"/>
      <w:r>
        <w:rPr>
          <w:sz w:val="24"/>
          <w:szCs w:val="24"/>
        </w:rPr>
        <w:t>contracolonialidade</w:t>
      </w:r>
      <w:proofErr w:type="spellEnd"/>
      <w:r>
        <w:rPr>
          <w:sz w:val="24"/>
          <w:szCs w:val="24"/>
        </w:rPr>
        <w:t xml:space="preserve">, resistências e juventudes. Esta frente envolve estudantes de graduação e pós-graduação de Serviço Social e áreas afins, permitindo o aprofundamento crítico sobre as temáticas, com base em referenciais que, segundo </w:t>
      </w:r>
      <w:r>
        <w:rPr>
          <w:sz w:val="24"/>
          <w:szCs w:val="24"/>
        </w:rPr>
        <w:lastRenderedPageBreak/>
        <w:t>Paulo Freire (1996), são fundamentais para “ler o mundo antes de ler a palavra”, ou seja, para compreender a realidade antes de intervir nela.</w:t>
      </w:r>
    </w:p>
    <w:p w14:paraId="383E2B3C" w14:textId="27F18D1E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segunda frente, “Aquilombar é Multiplicar”, tem como eixo a socialização do conhecimento produzido, por meio de atividades educativas presenciais e online. Essa estratégia possibilitou a participação de sujeitos de diferentes territórios no Brasil e em países africanos parceiros, além de ampliar o alcance das ações por meio de eventos e engajamento em redes sociais. A opção pelo formato híbrido demonstrou sensibilidade ao contexto contemporâneo, em que a tecnologia potencializa a educação popular e antirracista</w:t>
      </w:r>
      <w:r w:rsidR="001F08E7">
        <w:rPr>
          <w:color w:val="000000"/>
          <w:sz w:val="24"/>
          <w:szCs w:val="24"/>
        </w:rPr>
        <w:t>.</w:t>
      </w:r>
    </w:p>
    <w:p w14:paraId="383E2B3D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terceira frente, “Fluxos de Educação e Resistências na Cooperação Sul–Sul”, consolida o caráter internacional do projeto, fortalecendo parcerias com países do Sul Global, especialmente no continente africano e na América Latina. Através da oferta de cursos online e gratuitos para ativistas, educadores e estudantes, fomenta-se o intercâmbio de experiências e saberes, reafirmando a perspectiva de que a cooperação internacional deve ser horizontal, crítica e baseada em solidariedade, como defendem Santos e Meneses (2010) ao tratarem das epistemologias do Sul. A perspectiva de trabalho em rede foi central, perpassando as fronteiras da UEL, envolvendo universidades, coletivos e organizações sociais de Angola e Moçambique, o que permitiu a construção de um campo de intercâmbio e solidariedade, enriquecendo as ações locais com experiências internacionais.</w:t>
      </w:r>
    </w:p>
    <w:p w14:paraId="383E2B3E" w14:textId="77777777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 longo de sua execução, o projeto desenvolveu um conjunto diversificado de ações: grupos de estudo e pesquisa sobre história e cultura africana, legislação antirracista e políticas afirmativas; cursos e oficinas de formação em direitos humanos, enfrentamento ao racismo e </w:t>
      </w:r>
      <w:proofErr w:type="spellStart"/>
      <w:r>
        <w:rPr>
          <w:sz w:val="24"/>
          <w:szCs w:val="24"/>
        </w:rPr>
        <w:t>contracolonialidade</w:t>
      </w:r>
      <w:proofErr w:type="spellEnd"/>
      <w:r>
        <w:rPr>
          <w:sz w:val="24"/>
          <w:szCs w:val="24"/>
        </w:rPr>
        <w:t xml:space="preserve"> — incluindo curso online com participantes de diferentes países —; cine-debates com exibição de produções africanas e afro-brasileiras seguidos de rodas de conversa; intervenções culturais no campus e em espaços comunitários, valorizando a arte e a cultura negra. Destaca-se também a consolidação de parcerias internacionais por meio de trocas virtuais e presenciais com instituições e coletivos de Angola e Moçambique.</w:t>
      </w:r>
    </w:p>
    <w:p w14:paraId="383E2B3F" w14:textId="77777777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Os resultados evidenciaram a relevância e efetividade da proposta: constituiu-se um grupo consolidado de estudantes e docentes comprometidos com a luta antirracista; ampliou-se a rede de parcerias nacionais e internacionais; produziram-</w:t>
      </w:r>
      <w:r>
        <w:rPr>
          <w:sz w:val="24"/>
          <w:szCs w:val="24"/>
        </w:rPr>
        <w:lastRenderedPageBreak/>
        <w:t>se e difundiram-se materiais que seguem sendo utilizados em cursos e ações de extensão; fortaleceu-se o debate sobre igualdade racial na UEL; e aprofundou-se a relação da universidade com seu papel social e democrático, envolvendo também comunidades externas.</w:t>
      </w:r>
    </w:p>
    <w:p w14:paraId="383E2B40" w14:textId="77777777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experiência evidenciou que a extensão universitária, quando articulada ao ensino e à pesquisa, pode constituir-se como espaço privilegiado de encontro entre diferentes saberes e sujeitos sociais. Nesse processo, a universidade amplia sua capacidade de dialogar com territórios e comunidades, contribuindo para a construção coletiva de respostas às desigualdades raciais e sociais. O “Aquilombando a Universidade” reafirmou a importância de compreender a universidade como um espaço de aquilombamento, resistência e produção coletiva de conhecimento, revelando que a abertura ao diálogo com comunidades e movimentos sociais potencializa tanto a formação acadêmica quanto o impacto social de suas ações. </w:t>
      </w:r>
    </w:p>
    <w:p w14:paraId="383E2B41" w14:textId="03CF1F12" w:rsidR="00DB4150" w:rsidRDefault="00B16874">
      <w:pPr>
        <w:widowControl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Essa interação com países do continente africano também traz importantes subsídios para ações na esfera do estímulo e formação voltada ao cumprimento da Lei 10.639/2002 que dispõe sobre o ensino da história da África e afro-brasileira, como também da lei 11.645/2008 que abrange a história indígena (</w:t>
      </w:r>
      <w:r w:rsidR="00C00AE7">
        <w:rPr>
          <w:sz w:val="24"/>
          <w:szCs w:val="24"/>
        </w:rPr>
        <w:t>Rocha; Santos, 2020</w:t>
      </w:r>
      <w:r>
        <w:rPr>
          <w:sz w:val="24"/>
          <w:szCs w:val="24"/>
        </w:rPr>
        <w:t xml:space="preserve">). O êxito alcançado apontou para a necessidade de continuidade e ampliação da proposta, consolidando-a como referência na promoção de uma educação antirracista, democrática e socialmente referenciada, em sintonia com as demandas históricas da população negra no Brasil e nos países parceiros de língua portuguesa, conforme veremos na sequência. </w:t>
      </w:r>
    </w:p>
    <w:p w14:paraId="383E2B42" w14:textId="77777777" w:rsidR="00DB4150" w:rsidRDefault="00DB4150">
      <w:pPr>
        <w:widowControl/>
        <w:spacing w:line="360" w:lineRule="auto"/>
        <w:ind w:firstLine="708"/>
        <w:jc w:val="both"/>
        <w:rPr>
          <w:sz w:val="24"/>
          <w:szCs w:val="24"/>
        </w:rPr>
      </w:pPr>
    </w:p>
    <w:p w14:paraId="383E2B43" w14:textId="77777777" w:rsidR="00DB4150" w:rsidRDefault="00B16874">
      <w:pPr>
        <w:widowControl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 Particularidades da nova edição do projeto “Aquilombando a Universidade: Antirracismo, Direitos Humanos e Resistências Sul–Sul”</w:t>
      </w:r>
    </w:p>
    <w:p w14:paraId="383E2B44" w14:textId="77777777" w:rsidR="00DB4150" w:rsidRDefault="00DB415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83E2B45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nova edição do projeto, nomeada como “Aquilombando a Universidade: Antirracismo, Direitos Humanos e Resistências Sul–Sul” representa um avanço significativo em relação às edições anteriores, demonstrando ampliação de seu escopo geográfico e temático, refinamento metodológico e pelo fortalecimento das redes de cooperação internacional. Trata-se de uma ação integrada de extensão e </w:t>
      </w:r>
      <w:r>
        <w:rPr>
          <w:color w:val="000000"/>
          <w:sz w:val="24"/>
          <w:szCs w:val="24"/>
        </w:rPr>
        <w:lastRenderedPageBreak/>
        <w:t xml:space="preserve">ensino que, conforme definido em seu objetivo geral, busca “Promover atividades educativas vinculadas a temática dos Direitos Humanos, antirracismo, </w:t>
      </w:r>
      <w:proofErr w:type="spellStart"/>
      <w:r>
        <w:rPr>
          <w:color w:val="000000"/>
          <w:sz w:val="24"/>
          <w:szCs w:val="24"/>
        </w:rPr>
        <w:t>contra-colonialidade</w:t>
      </w:r>
      <w:proofErr w:type="spellEnd"/>
      <w:r>
        <w:rPr>
          <w:color w:val="000000"/>
          <w:sz w:val="24"/>
          <w:szCs w:val="24"/>
        </w:rPr>
        <w:t xml:space="preserve">, letramento racial e outros temas em uma perspectiva do fortalecimento de resistências e da cooperação Sul – Sul”. </w:t>
      </w:r>
    </w:p>
    <w:p w14:paraId="383E2B46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Entre as principais particularidades desta edição, destaca-se a ampliação do escopo, agora, voltando-se para os Países Africanos de Língua Oficial Portuguesa  - PALOP, os quais correspondem a um conjunto de nações que têm o português como idioma oficial, resultado de um passado comum marcado pelo processo de colonização portuguesa. Integram esse grupo Angola, Cabo Verde, Guiné-Bissau, Moçambique e São Tomé e Príncipe — todos localizados no continente africano e membros da Comunidade dos Países de Língua Portuguesa (CPLP).</w:t>
      </w:r>
    </w:p>
    <w:p w14:paraId="383E2B47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Cabe destacarmos que a expressão PALOP é utilizada tanto em contextos diplomáticos e acadêmicos quanto em projetos de cooperação internacional para designar iniciativas voltadas a esse conjunto de países, especialmente aquelas que valorizam a língua, a história e as culturas partilhadas, ao mesmo tempo que reconhecem as especificidades sociais, políticas e econômicas de cada nação. No caso do projeto Aquilombando a Universidade, a menção aos PALOP reforça o compromisso de estabelecer intercâmbios e redes de colaboração voltadas à promoção da educação em direitos humanos, do combate ao racismo e do fortalecimento das conexões históricas e culturais entre o Brasil e esses países africanos.</w:t>
      </w:r>
    </w:p>
    <w:p w14:paraId="383E2B48" w14:textId="2FBA74C5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projeto </w:t>
      </w:r>
      <w:r w:rsidR="00C00AE7">
        <w:rPr>
          <w:color w:val="000000"/>
          <w:sz w:val="24"/>
          <w:szCs w:val="24"/>
        </w:rPr>
        <w:t xml:space="preserve">tem </w:t>
      </w:r>
      <w:r>
        <w:rPr>
          <w:color w:val="000000"/>
          <w:sz w:val="24"/>
          <w:szCs w:val="24"/>
        </w:rPr>
        <w:t>como objetivos específicos desenvolver estudos no campo da educação em direitos humanos e no enfrentamento ao racismo, disseminando seus resultados por meio de ações de formação continuada, cursos de curta duração, eventos, oficinas, palestras e outras atividades educativas, de modo a ampliar o alcance e o impacto social do conhecimento produzido.</w:t>
      </w:r>
    </w:p>
    <w:p w14:paraId="383E2B49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Busca, ainda, implementar estratégias voltadas ao fortalecimento da cooperação Sul–Sul, especialmente por meio da promoção de cursos online gratuitos e de curta duração voltados a ativistas, educadores e estudantes dos países africanos de língua oficial portuguesa (PALOP), favorecendo a troca de saberes e experiências entre esses contextos. Nesse sentido, dedica-se à mediação e articulação de uma rede parceira composta por profissionais e pesquisadores de diferentes áreas do </w:t>
      </w:r>
      <w:r>
        <w:rPr>
          <w:color w:val="000000"/>
          <w:sz w:val="24"/>
          <w:szCs w:val="24"/>
        </w:rPr>
        <w:lastRenderedPageBreak/>
        <w:t>conhecimento, capazes de contribuir, de forma pontual ou contínua, para as atividades do projeto.</w:t>
      </w:r>
    </w:p>
    <w:p w14:paraId="383E2B4A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Outra frente de atuação concentra-se na colaboração com iniciativas que fortaleçam a execução da Lei nº 10.639/2002, que estabelece a obrigatoriedade do ensino da história e cultura afro-brasileira e africana, e da Lei nº 11.645/2008, que amplia essa obrigatoriedade para incluir a história e cultura dos povos indígenas, reconhecendo-as como fundamentais para a construção de uma educação antirracista e plural. Além disso, o projeto se dispõe a contribuir, sempre que possível, com ações de extensão universitária propostas por outras instituições, ampliando a rede de cooperação interinstitucional. Também se empenha em promover atividades de intercâmbio virtual entre estudantes e educadores dos países envolvidos, incentivando o diálogo intercultural, o compartilhamento de experiências e a construção coletiva de conhecimentos que fortaleçam práticas educativas comprometidas com a justiça social e a igualdade racial.</w:t>
      </w:r>
    </w:p>
    <w:p w14:paraId="383E2B4B" w14:textId="3145FDC8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Outro elemento inovador desta edição é a ênfase na integração entre extensão e ensino. As atividades desenvolvidas não se limitam à transmissão de conteúdo, mas constituem espaços dialógicos, onde o conhecimento acadêmico se encontra com saberes populares e comunitários. Essa perspectiva está alinhada à concepção </w:t>
      </w:r>
      <w:proofErr w:type="spellStart"/>
      <w:r>
        <w:rPr>
          <w:color w:val="000000"/>
          <w:sz w:val="24"/>
          <w:szCs w:val="24"/>
        </w:rPr>
        <w:t>freireana</w:t>
      </w:r>
      <w:proofErr w:type="spellEnd"/>
      <w:r>
        <w:rPr>
          <w:color w:val="000000"/>
          <w:sz w:val="24"/>
          <w:szCs w:val="24"/>
        </w:rPr>
        <w:t xml:space="preserve"> de educação como prática da liberdade, na qual educadores e educandos constroem juntos o processo de aprendizagem (</w:t>
      </w:r>
      <w:r w:rsidR="00FF6718">
        <w:rPr>
          <w:color w:val="000000"/>
          <w:sz w:val="24"/>
          <w:szCs w:val="24"/>
        </w:rPr>
        <w:t>Freire,</w:t>
      </w:r>
      <w:r>
        <w:rPr>
          <w:color w:val="000000"/>
          <w:sz w:val="24"/>
          <w:szCs w:val="24"/>
        </w:rPr>
        <w:t xml:space="preserve"> 1996).</w:t>
      </w:r>
    </w:p>
    <w:p w14:paraId="383E2B4C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Do ponto de vista metodológico, a edição atual reforça a indissociabilidade entre teoria e prática, garantindo que a intervenção social seja fundamentada, ética e tecnicamente qualificada. Nesse sentido, o projeto também se articula às diretrizes do Projeto Ético-Político do Serviço Social, ao assumir o compromisso com a defesa dos direitos humanos, a justiça social e a superação das desigualdades estruturais.</w:t>
      </w:r>
    </w:p>
    <w:p w14:paraId="383E2B4D" w14:textId="40FE3750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nova edição do projeto Aquilombando a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Universidade representa, portanto, um movimento de aprofundamento da proposta inicial. Ao ampliar sua atuação para os países africanos de língua oficial portuguesa e fortalecer as redes de cooperação Sul–Sul, o projeto reafirma a centralidade da educação antirracista e popular como dimensão estratégica. Como nos inspira Conceição Evaristo, citada </w:t>
      </w:r>
      <w:r w:rsidR="006F1930">
        <w:rPr>
          <w:color w:val="000000"/>
          <w:sz w:val="24"/>
          <w:szCs w:val="24"/>
        </w:rPr>
        <w:t>como epígrafe</w:t>
      </w:r>
      <w:r>
        <w:rPr>
          <w:color w:val="000000"/>
          <w:sz w:val="24"/>
          <w:szCs w:val="24"/>
        </w:rPr>
        <w:t xml:space="preserve"> “é tempo de formar novos quilombos, em qualquer lugar que estejamos”, reafirmando </w:t>
      </w:r>
      <w:r>
        <w:rPr>
          <w:color w:val="000000"/>
          <w:sz w:val="24"/>
          <w:szCs w:val="24"/>
        </w:rPr>
        <w:lastRenderedPageBreak/>
        <w:t>que a universidade, quando aquilombada, se torna um espaço de resistência e emancipação.</w:t>
      </w:r>
    </w:p>
    <w:p w14:paraId="383E2B4E" w14:textId="77777777" w:rsidR="00DB4150" w:rsidRDefault="00DB415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83E2B4F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Fluxos atlânticos de aquilombamento: atividades do projeto em Angola e Moçambique</w:t>
      </w:r>
    </w:p>
    <w:p w14:paraId="383E2B50" w14:textId="77777777" w:rsidR="00DB4150" w:rsidRDefault="00DB415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14:paraId="383E2B51" w14:textId="5C842239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Há também que se destacar que o aquilombar da universidade também carrega em si a energia dos quilombos, os quais, atravessam o atlântico com os corpos negros sequestrados do continente africano e escravizados no Brasil. Beatriz do Nascimento (1943–1995) resgatou o quilombo como instituição e como símbolo, defendendo que a história da população negra não poderia ser contada apenas a partir da escravidão, mas sim da liberdade e da resistência </w:t>
      </w:r>
      <w:r w:rsidR="009802D9"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Ratts</w:t>
      </w:r>
      <w:proofErr w:type="spellEnd"/>
      <w:r>
        <w:rPr>
          <w:color w:val="000000"/>
          <w:sz w:val="24"/>
          <w:szCs w:val="24"/>
        </w:rPr>
        <w:t>, 2009). Ao romper com uma perspectiva eurocêntrica, ela evidenciou que o quilombo no Brasil não é simples “habitação de fugitivos”, mas um sistema alternativo de organização social, política e econômica que, em diferentes momentos históricos, questionou e enfrentou as estruturas coloniais e racistas.</w:t>
      </w:r>
    </w:p>
    <w:p w14:paraId="2A30B3A4" w14:textId="7EE8A0C7" w:rsidR="00904AB1" w:rsidRDefault="00B16874" w:rsidP="00904AB1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Em sua</w:t>
      </w:r>
      <w:r>
        <w:rPr>
          <w:color w:val="000000"/>
          <w:sz w:val="24"/>
          <w:szCs w:val="24"/>
        </w:rPr>
        <w:t xml:space="preserve"> pesquisa, Beatriz Nascimento (2018), identificou conexões diretas entre os quilombos brasileiros e instituições africanas pré-existentes, especialmente o </w:t>
      </w:r>
      <w:proofErr w:type="spellStart"/>
      <w:r>
        <w:rPr>
          <w:i/>
          <w:iCs/>
          <w:color w:val="000000"/>
          <w:sz w:val="24"/>
          <w:szCs w:val="24"/>
        </w:rPr>
        <w:t>kilombo</w:t>
      </w:r>
      <w:proofErr w:type="spellEnd"/>
      <w:r>
        <w:rPr>
          <w:color w:val="000000"/>
          <w:sz w:val="24"/>
          <w:szCs w:val="24"/>
        </w:rPr>
        <w:t xml:space="preserve"> originário do contexto banto, introduzido pelos </w:t>
      </w:r>
      <w:proofErr w:type="spellStart"/>
      <w:r>
        <w:rPr>
          <w:color w:val="000000"/>
          <w:sz w:val="24"/>
          <w:szCs w:val="24"/>
        </w:rPr>
        <w:t>Imbangala</w:t>
      </w:r>
      <w:proofErr w:type="spellEnd"/>
      <w:r>
        <w:rPr>
          <w:color w:val="000000"/>
          <w:sz w:val="24"/>
          <w:szCs w:val="24"/>
        </w:rPr>
        <w:t xml:space="preserve"> no século XVI. Essa instituição, presente em Angola, era um espaço de organização coletiva, de iniciação, de guerra e de vida comunitária, aberto a estrangeiros desde que passassem por ritos de integração. </w:t>
      </w:r>
      <w:r w:rsidR="00904AB1">
        <w:rPr>
          <w:color w:val="000000"/>
          <w:sz w:val="24"/>
          <w:szCs w:val="24"/>
        </w:rPr>
        <w:t xml:space="preserve">O </w:t>
      </w:r>
      <w:proofErr w:type="spellStart"/>
      <w:r w:rsidR="00904AB1">
        <w:rPr>
          <w:i/>
          <w:iCs/>
          <w:color w:val="000000"/>
          <w:sz w:val="24"/>
          <w:szCs w:val="24"/>
        </w:rPr>
        <w:t>kilombo</w:t>
      </w:r>
      <w:proofErr w:type="spellEnd"/>
      <w:r w:rsidR="00904AB1">
        <w:rPr>
          <w:color w:val="000000"/>
          <w:sz w:val="24"/>
          <w:szCs w:val="24"/>
        </w:rPr>
        <w:t xml:space="preserve"> africano articulava dimensões políticas, econômicas, culturais e espirituais, revelando-se uma base organizativa para resistências contra invasões portuguesas e para a manutenção de identidades étnicas.</w:t>
      </w:r>
      <w:r w:rsidR="006E3403">
        <w:rPr>
          <w:color w:val="000000"/>
          <w:sz w:val="24"/>
          <w:szCs w:val="24"/>
        </w:rPr>
        <w:t xml:space="preserve"> Como podemos observar, </w:t>
      </w:r>
      <w:r w:rsidR="00871A9E">
        <w:rPr>
          <w:color w:val="000000"/>
          <w:sz w:val="24"/>
          <w:szCs w:val="24"/>
        </w:rPr>
        <w:t xml:space="preserve">as imagens registram a organização dos </w:t>
      </w:r>
      <w:proofErr w:type="spellStart"/>
      <w:r w:rsidR="00871A9E">
        <w:rPr>
          <w:color w:val="000000"/>
          <w:sz w:val="24"/>
          <w:szCs w:val="24"/>
        </w:rPr>
        <w:t>Kilombos</w:t>
      </w:r>
      <w:proofErr w:type="spellEnd"/>
      <w:r w:rsidR="00871A9E">
        <w:rPr>
          <w:color w:val="000000"/>
          <w:sz w:val="24"/>
          <w:szCs w:val="24"/>
        </w:rPr>
        <w:t xml:space="preserve"> no contexto angolano, as quais se assemelham de imagens que temos sobre os quilombos no Brasil.</w:t>
      </w:r>
    </w:p>
    <w:p w14:paraId="7F41627B" w14:textId="77777777" w:rsidR="00A12350" w:rsidRDefault="00A12350" w:rsidP="004B5AD3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502"/>
      </w:tblGrid>
      <w:tr w:rsidR="00A12350" w14:paraId="48E360D8" w14:textId="77777777" w:rsidTr="00EA6906">
        <w:tc>
          <w:tcPr>
            <w:tcW w:w="4501" w:type="dxa"/>
          </w:tcPr>
          <w:p w14:paraId="6F85F84A" w14:textId="77777777" w:rsidR="00A12350" w:rsidRDefault="00A12350" w:rsidP="00EA69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Imagem 1 – </w:t>
            </w:r>
          </w:p>
          <w:p w14:paraId="0711EA47" w14:textId="77777777" w:rsidR="00A12350" w:rsidRDefault="00A12350" w:rsidP="00EA69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Kilombo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dos “</w:t>
            </w:r>
            <w:proofErr w:type="spellStart"/>
            <w:r>
              <w:rPr>
                <w:color w:val="000000"/>
                <w:sz w:val="24"/>
                <w:szCs w:val="24"/>
              </w:rPr>
              <w:t>jagas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” segundo </w:t>
            </w:r>
          </w:p>
          <w:p w14:paraId="56EC0F55" w14:textId="019332D6" w:rsidR="00A12350" w:rsidRDefault="00A12350" w:rsidP="00EA69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Cavazzi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(1687)</w:t>
            </w:r>
          </w:p>
          <w:p w14:paraId="5EC4AB4E" w14:textId="26A938AB" w:rsidR="00A12350" w:rsidRDefault="00A12350" w:rsidP="00EA6906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02" w:type="dxa"/>
          </w:tcPr>
          <w:p w14:paraId="645C0E4D" w14:textId="4B087C2D" w:rsidR="00A12350" w:rsidRDefault="00BC2177" w:rsidP="00EA6906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Imagem 2 – </w:t>
            </w:r>
          </w:p>
          <w:p w14:paraId="4B068ACB" w14:textId="77777777" w:rsidR="00EA6906" w:rsidRDefault="00BC2177" w:rsidP="00EA6906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Mapa </w:t>
            </w:r>
            <w:r w:rsidR="00EA6906">
              <w:rPr>
                <w:color w:val="000000"/>
                <w:sz w:val="24"/>
                <w:szCs w:val="24"/>
              </w:rPr>
              <w:t xml:space="preserve"> do </w:t>
            </w:r>
            <w:proofErr w:type="spellStart"/>
            <w:r w:rsidR="00EA6906">
              <w:rPr>
                <w:color w:val="000000"/>
                <w:sz w:val="24"/>
                <w:szCs w:val="24"/>
              </w:rPr>
              <w:t>Kilombo</w:t>
            </w:r>
            <w:proofErr w:type="spellEnd"/>
            <w:r w:rsidR="00EA6906">
              <w:rPr>
                <w:color w:val="000000"/>
                <w:sz w:val="24"/>
                <w:szCs w:val="24"/>
              </w:rPr>
              <w:t xml:space="preserve"> </w:t>
            </w:r>
          </w:p>
          <w:p w14:paraId="39ECB4DD" w14:textId="185D36A8" w:rsidR="00BC2177" w:rsidRDefault="00EA6906" w:rsidP="00EA6906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do Soba da </w:t>
            </w:r>
            <w:proofErr w:type="spellStart"/>
            <w:r>
              <w:rPr>
                <w:color w:val="000000"/>
                <w:sz w:val="24"/>
                <w:szCs w:val="24"/>
              </w:rPr>
              <w:t>Quingola</w:t>
            </w:r>
            <w:proofErr w:type="spellEnd"/>
          </w:p>
        </w:tc>
      </w:tr>
      <w:tr w:rsidR="00A12350" w14:paraId="32A6FFEA" w14:textId="77777777" w:rsidTr="00EA6906">
        <w:tc>
          <w:tcPr>
            <w:tcW w:w="4501" w:type="dxa"/>
          </w:tcPr>
          <w:p w14:paraId="0F5E2FBB" w14:textId="35E4B64D" w:rsidR="00A12350" w:rsidRDefault="00A12350" w:rsidP="004B5AD3">
            <w:pPr>
              <w:widowControl/>
              <w:spacing w:line="360" w:lineRule="auto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223267F7" wp14:editId="471FF0B1">
                  <wp:extent cx="1791114" cy="2388152"/>
                  <wp:effectExtent l="0" t="0" r="0" b="0"/>
                  <wp:docPr id="1164873369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114" cy="2388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2" w:type="dxa"/>
          </w:tcPr>
          <w:p w14:paraId="2B59E4B0" w14:textId="484AEB4E" w:rsidR="00A12350" w:rsidRDefault="006369EF" w:rsidP="004B5AD3">
            <w:pPr>
              <w:widowControl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7D31DB3C" wp14:editId="53D38CD9">
                  <wp:extent cx="1765189" cy="2467082"/>
                  <wp:effectExtent l="0" t="0" r="6985" b="0"/>
                  <wp:docPr id="80960149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083" cy="2497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6440CC" w14:textId="77777777" w:rsidR="00A12350" w:rsidRDefault="00A12350" w:rsidP="004B5AD3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p w14:paraId="264B9059" w14:textId="09F218DC" w:rsidR="006E3403" w:rsidRPr="00982F96" w:rsidRDefault="0062022F" w:rsidP="006E340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 w:rsidRPr="00982F96">
        <w:rPr>
          <w:color w:val="000000"/>
          <w:sz w:val="20"/>
          <w:szCs w:val="20"/>
        </w:rPr>
        <w:t xml:space="preserve">Fonte: </w:t>
      </w:r>
      <w:r w:rsidR="006E3403" w:rsidRPr="00982F96">
        <w:rPr>
          <w:color w:val="000000"/>
          <w:sz w:val="20"/>
          <w:szCs w:val="20"/>
        </w:rPr>
        <w:t>Registros fotográficos do</w:t>
      </w:r>
      <w:r w:rsidR="004B5AD3" w:rsidRPr="00982F96">
        <w:rPr>
          <w:color w:val="000000"/>
          <w:sz w:val="20"/>
          <w:szCs w:val="20"/>
        </w:rPr>
        <w:t xml:space="preserve"> Museu da Escravatura</w:t>
      </w:r>
      <w:r w:rsidR="00D4560A" w:rsidRPr="00982F96">
        <w:rPr>
          <w:rStyle w:val="Refdenotaderodap"/>
          <w:color w:val="000000"/>
          <w:sz w:val="20"/>
          <w:szCs w:val="20"/>
        </w:rPr>
        <w:footnoteReference w:id="1"/>
      </w:r>
      <w:r w:rsidR="004B5AD3" w:rsidRPr="00982F96">
        <w:rPr>
          <w:color w:val="000000"/>
          <w:sz w:val="20"/>
          <w:szCs w:val="20"/>
        </w:rPr>
        <w:t xml:space="preserve"> </w:t>
      </w:r>
    </w:p>
    <w:p w14:paraId="6CDCEF4A" w14:textId="3BED6798" w:rsidR="004B5AD3" w:rsidRPr="00982F96" w:rsidRDefault="004B5AD3" w:rsidP="006E3403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 w:rsidRPr="00982F96">
        <w:rPr>
          <w:color w:val="000000"/>
          <w:sz w:val="20"/>
          <w:szCs w:val="20"/>
        </w:rPr>
        <w:t xml:space="preserve">Luanda </w:t>
      </w:r>
      <w:r w:rsidR="0062022F" w:rsidRPr="00982F96">
        <w:rPr>
          <w:color w:val="000000"/>
          <w:sz w:val="20"/>
          <w:szCs w:val="20"/>
        </w:rPr>
        <w:t>–</w:t>
      </w:r>
      <w:r w:rsidRPr="00982F96">
        <w:rPr>
          <w:color w:val="000000"/>
          <w:sz w:val="20"/>
          <w:szCs w:val="20"/>
        </w:rPr>
        <w:t xml:space="preserve"> Angola</w:t>
      </w:r>
      <w:r w:rsidR="0062022F" w:rsidRPr="00982F96">
        <w:rPr>
          <w:color w:val="000000"/>
          <w:sz w:val="20"/>
          <w:szCs w:val="20"/>
        </w:rPr>
        <w:t xml:space="preserve"> dia </w:t>
      </w:r>
      <w:r w:rsidR="003D4258" w:rsidRPr="00982F96">
        <w:rPr>
          <w:color w:val="000000"/>
          <w:sz w:val="20"/>
          <w:szCs w:val="20"/>
        </w:rPr>
        <w:t>23/07/2025</w:t>
      </w:r>
    </w:p>
    <w:p w14:paraId="51C44733" w14:textId="77777777" w:rsidR="008444B0" w:rsidRDefault="008444B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14:paraId="383E2B53" w14:textId="5395973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r>
        <w:rPr>
          <w:sz w:val="24"/>
          <w:szCs w:val="24"/>
        </w:rPr>
        <w:t>historiadora</w:t>
      </w:r>
      <w:r>
        <w:rPr>
          <w:color w:val="000000"/>
          <w:sz w:val="24"/>
          <w:szCs w:val="24"/>
        </w:rPr>
        <w:t xml:space="preserve"> defendeu que o Quilombo dos Palmares (séc. XVII), em sua complexidade organizativa, é o exemplo mais próximo desse modelo africano transposto para o Brasil. Em ambos os casos, há uma lógica de autonomia territorial, defesa coletiva e produção de sociabilidade baseada em princípios comunitários e de liberdade. No Brasil, entretanto, os quilombos também se transformaram conforme as necessidades e possibilidades do território, tornando-se espaços de acolhimento a populações diversas e referência ideológica para a luta antirracista contemporânea.</w:t>
      </w:r>
    </w:p>
    <w:p w14:paraId="383E2B54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Foi portanto, em uma perspectiva de se consolidar as atividades do projeto na esfera acadêmica de cooperação sul-sul e, nas esfera política-ideológica, sobre a busca dos quilombos que ligam Angola, Brasil e Moçambique, que submetemos em 2024, a proposta “Aquilombando a Universidade: Antirracismo, Direitos Humanos e Resistências Sul–Sul”, no âmbito do PROEXT-PG, vinculada ao Programa de Pós-Graduação em Serviço Social e Política Social da Universidade Estadual de Londrina. Os recursos do edital, somados com a taxa de Bancada da Bolsa Produtividade em Pesquisa – PQ-2 da coordenadora, permitiram a realização de uma missão acadêmica com a organização de cursos/eventos em Angola e Moçambique. Além disso, a experiência envolveu estudantes de pós-graduação, bolsistas CAPES. </w:t>
      </w:r>
    </w:p>
    <w:p w14:paraId="383E2B55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 ação, inspirada na resistência quilombola e orientada pela práxis antirracista e pela defesa dos direitos humanos, teve como foco a infância e a juventude, articulando ensino, extensão e cooperação internacional com países africanos de língua portuguesa. A primeira etapa consistiu na oferta do curso online “Direitos Humanos e Antirracismo como estratégia de proteção à infância e juventude” (45h), dividido em três módulos e destinado a docentes e estudantes de graduação da UEL e dos PALOP. O curso, ministrado por doutorandas e monitorado por mestrandas, buscou promover o diálogo intercultural, abordando marcos legais, políticas públicas e práticas educativas antirracistas. O quadro abaixo apresenta o programa do curso</w:t>
      </w:r>
    </w:p>
    <w:p w14:paraId="383E2B56" w14:textId="77777777" w:rsidR="00DB4150" w:rsidRDefault="00DB415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83E2B57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QUADRO 1 – Curso </w:t>
      </w:r>
      <w:proofErr w:type="spellStart"/>
      <w:r>
        <w:rPr>
          <w:color w:val="000000"/>
          <w:sz w:val="24"/>
          <w:szCs w:val="24"/>
        </w:rPr>
        <w:t>Contradolonizando</w:t>
      </w:r>
      <w:proofErr w:type="spellEnd"/>
      <w:r>
        <w:rPr>
          <w:color w:val="000000"/>
          <w:sz w:val="24"/>
          <w:szCs w:val="24"/>
        </w:rPr>
        <w:t xml:space="preserve"> Direitos Humanos, Infância e Juventude</w:t>
      </w:r>
    </w:p>
    <w:p w14:paraId="383E2B58" w14:textId="77777777" w:rsidR="00DB4150" w:rsidRDefault="00DB415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14:paraId="383E2B59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383E2B9C" wp14:editId="79EDE9F0">
            <wp:extent cx="5292311" cy="3593989"/>
            <wp:effectExtent l="0" t="0" r="3810" b="6985"/>
            <wp:docPr id="144175517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l="959" b="47783"/>
                    <a:stretch>
                      <a:fillRect/>
                    </a:stretch>
                  </pic:blipFill>
                  <pic:spPr>
                    <a:xfrm>
                      <a:off x="0" y="0"/>
                      <a:ext cx="5328844" cy="36187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3E2B5A" w14:textId="77777777" w:rsidR="00DB4150" w:rsidRDefault="00B16874" w:rsidP="009E292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Fonte: Projeto do Curso</w:t>
      </w:r>
    </w:p>
    <w:p w14:paraId="383E2B5B" w14:textId="77777777" w:rsidR="00DB4150" w:rsidRDefault="00DB415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14:paraId="6B91CD3B" w14:textId="4142EF59" w:rsidR="009E2924" w:rsidRDefault="00B16874" w:rsidP="002F1941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segunda etapa, a equipe elaborou a cartilha</w:t>
      </w:r>
      <w:r>
        <w:rPr>
          <w:color w:val="000000"/>
          <w:sz w:val="24"/>
          <w:szCs w:val="24"/>
          <w:vertAlign w:val="superscript"/>
        </w:rPr>
        <w:footnoteReference w:id="2"/>
      </w:r>
      <w:r>
        <w:rPr>
          <w:color w:val="000000"/>
          <w:sz w:val="24"/>
          <w:szCs w:val="24"/>
        </w:rPr>
        <w:t xml:space="preserve"> homônima, derivada dos conteúdos do curso e adaptada às realidades socioculturais do Brasil, Angola e </w:t>
      </w:r>
      <w:r>
        <w:rPr>
          <w:color w:val="000000"/>
          <w:sz w:val="24"/>
          <w:szCs w:val="24"/>
        </w:rPr>
        <w:lastRenderedPageBreak/>
        <w:t>Moçambique. A produção envolveu graduandos, mestrandos e doutorandos, tal como participantes da comunidade, desde a pesquisa e redação até a diagramação, resultando em um material de linguagem acessível e potencial formativo, impresso e distribuído a multiplicadores nos três países. Abaixo segue imagem da capa da cartilha:</w:t>
      </w:r>
    </w:p>
    <w:p w14:paraId="383E2B5E" w14:textId="05D23040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Imagem </w:t>
      </w:r>
      <w:r w:rsidR="009E2924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– Capa da Cartilha</w:t>
      </w:r>
    </w:p>
    <w:p w14:paraId="383E2B5F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383E2B9E" wp14:editId="383E2B9F">
            <wp:extent cx="2047200" cy="2843720"/>
            <wp:effectExtent l="0" t="0" r="0" b="0"/>
            <wp:docPr id="1441755179" name="image1.png" descr="Mapa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pa&#10;&#10;O conteúdo gerado por IA pode estar incorreto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200" cy="2843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08512C" w14:textId="52B12EA1" w:rsidR="00A3202B" w:rsidRDefault="009E2924" w:rsidP="00A3202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Fonte: </w:t>
      </w:r>
      <w:r w:rsidR="00A3202B">
        <w:rPr>
          <w:sz w:val="24"/>
          <w:szCs w:val="24"/>
        </w:rPr>
        <w:t>ROCHA (2025)</w:t>
      </w:r>
    </w:p>
    <w:p w14:paraId="383E2B62" w14:textId="242088B7" w:rsidR="00DB4150" w:rsidRDefault="00B16874" w:rsidP="0092079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terceira etapa foi marcada pelas ações presenciais internacionais. A coordenadora do projeto deslocou-se a Angola e Moçambique, onde ministrou o curso presencial “Direitos Humanos, Infância e Juventude em ações de Extensão Universitária” para pós-graduandos, docentes e lideranças locais. </w:t>
      </w:r>
      <w:r>
        <w:rPr>
          <w:sz w:val="24"/>
          <w:szCs w:val="24"/>
        </w:rPr>
        <w:t>Em Angola</w:t>
      </w:r>
      <w:r>
        <w:rPr>
          <w:color w:val="000000"/>
          <w:sz w:val="24"/>
          <w:szCs w:val="24"/>
        </w:rPr>
        <w:t xml:space="preserve">, as atividades aconteceram em Luanda, na Universidade Católica de Angola, e em Moçambique em Maputo, na Universidade Eduardo </w:t>
      </w:r>
      <w:proofErr w:type="spellStart"/>
      <w:r>
        <w:rPr>
          <w:color w:val="000000"/>
          <w:sz w:val="24"/>
          <w:szCs w:val="24"/>
        </w:rPr>
        <w:t>Mondlane</w:t>
      </w:r>
      <w:proofErr w:type="spellEnd"/>
      <w:r>
        <w:rPr>
          <w:color w:val="000000"/>
          <w:sz w:val="24"/>
          <w:szCs w:val="24"/>
        </w:rPr>
        <w:t xml:space="preserve"> e na Escola Comunitária Espinha Dorsal. Nesses encontros, além do lançamento oficial da cartilha, promoveram-se rodas de conversa, oficinas e articulações com programas de pós-graduação locais, reforçando os vínculos de cooperação Sul–Sul.</w:t>
      </w:r>
    </w:p>
    <w:p w14:paraId="383E2B63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execução integral do projeto resultou no fortalecimento das redes acadêmicas e extensionistas, na disseminação de práticas antirracistas voltadas à infância e juventude e na produção de material pedagógico que seguirá orientando ações de formação em direitos humanos nos contextos em que foi distribuído.  </w:t>
      </w:r>
    </w:p>
    <w:p w14:paraId="383E2B64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Ao incorporar as infâncias e juventudes no centro da agenda antirracista e dos direitos humanos, a proposta assumiu o desafio de articular experiências situadas em diferentes territórios, conectando debates locais às dinâmicas mais amplas da cooperação internacional. Aquilombar a universidade, neste contexto, significa também transformar as relações entre pós-graduação, extensão e cooperação internacional, apostando em formas plurais de produção e circulação de saberes. Mais do que um projeto, tratou-se de um movimento coletivo de construção de alternativas para um presente antirracista e um futuro mais justo e plural.</w:t>
      </w:r>
    </w:p>
    <w:p w14:paraId="383E2B65" w14:textId="77777777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Assim, ao dialogarmos com a noção de </w:t>
      </w:r>
      <w:proofErr w:type="spellStart"/>
      <w:r>
        <w:rPr>
          <w:i/>
          <w:iCs/>
          <w:color w:val="000000"/>
          <w:sz w:val="24"/>
          <w:szCs w:val="24"/>
        </w:rPr>
        <w:t>kilombo</w:t>
      </w:r>
      <w:proofErr w:type="spellEnd"/>
      <w:r>
        <w:rPr>
          <w:color w:val="000000"/>
          <w:sz w:val="24"/>
          <w:szCs w:val="24"/>
        </w:rPr>
        <w:t xml:space="preserve"> africano “lá” e a experiência de quilombo “aqui”, encontramos um fio histórico que liga práticas de resistência transatlânticas. Esse fio expressa não apenas a sobrevivência de formas organizativas africanas no contexto colonial das Américas, mas também a sua reinvenção como estratégia de enfrentamento ao racismo estrutural e à colonialidade (</w:t>
      </w:r>
      <w:proofErr w:type="spellStart"/>
      <w:r>
        <w:rPr>
          <w:color w:val="000000"/>
          <w:sz w:val="24"/>
          <w:szCs w:val="24"/>
        </w:rPr>
        <w:t>Quijano</w:t>
      </w:r>
      <w:proofErr w:type="spellEnd"/>
      <w:r>
        <w:rPr>
          <w:color w:val="000000"/>
          <w:sz w:val="24"/>
          <w:szCs w:val="24"/>
        </w:rPr>
        <w:t xml:space="preserve">, 2005; </w:t>
      </w:r>
      <w:proofErr w:type="spellStart"/>
      <w:r>
        <w:rPr>
          <w:color w:val="000000"/>
          <w:sz w:val="24"/>
          <w:szCs w:val="24"/>
        </w:rPr>
        <w:t>Grosfoguel</w:t>
      </w:r>
      <w:proofErr w:type="spellEnd"/>
      <w:r>
        <w:rPr>
          <w:color w:val="000000"/>
          <w:sz w:val="24"/>
          <w:szCs w:val="24"/>
        </w:rPr>
        <w:t>, 2019). Beatriz Nascimento (2018) propõe que este legado seja compreendido como herança viva, capaz de inspirar processos atuais de aquilombamento — espaços de produção coletiva de conhecimento, de solidariedade e de luta por justiça social</w:t>
      </w:r>
    </w:p>
    <w:p w14:paraId="383E2B66" w14:textId="77777777" w:rsidR="00DB4150" w:rsidRDefault="00DB415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14:paraId="383E2B67" w14:textId="57511D1D" w:rsidR="00DB4150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before="180"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</w:t>
      </w:r>
      <w:r w:rsidR="00E948C3">
        <w:rPr>
          <w:b/>
          <w:bCs/>
          <w:color w:val="000000"/>
          <w:sz w:val="24"/>
          <w:szCs w:val="24"/>
        </w:rPr>
        <w:t>AQUILOMBAR É PRECISO!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383E2B68" w14:textId="77777777" w:rsidR="00DB4150" w:rsidRDefault="00DB4150">
      <w:pPr>
        <w:widowControl/>
        <w:pBdr>
          <w:top w:val="nil"/>
          <w:left w:val="nil"/>
          <w:bottom w:val="nil"/>
          <w:right w:val="nil"/>
          <w:between w:val="nil"/>
        </w:pBdr>
        <w:spacing w:before="180" w:line="360" w:lineRule="auto"/>
        <w:ind w:firstLine="708"/>
        <w:jc w:val="both"/>
        <w:rPr>
          <w:b/>
          <w:bCs/>
          <w:color w:val="000000"/>
          <w:sz w:val="24"/>
          <w:szCs w:val="24"/>
        </w:rPr>
      </w:pPr>
    </w:p>
    <w:p w14:paraId="383E2B69" w14:textId="77777777" w:rsidR="00DB4150" w:rsidRPr="00E948C3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5"/>
        <w:jc w:val="both"/>
        <w:rPr>
          <w:sz w:val="24"/>
          <w:szCs w:val="24"/>
        </w:rPr>
      </w:pPr>
      <w:r w:rsidRPr="00E948C3">
        <w:rPr>
          <w:sz w:val="24"/>
          <w:szCs w:val="24"/>
        </w:rPr>
        <w:t xml:space="preserve">A experiência do Aquilombando a Universidade reafirma que a universidade pública, quando se abre para o diálogo com territórios e comunidades, deixa de ser apenas um espaço de muros e salas de aula para se tornar um território vivo, tecido por histórias, afetos e lutas. Ao conectar Brasil, Angola e Moçambique, redesenhamos fluxos interrompidos pelo colonialismo, reconstruindo pontes que atravessam o Atlântico carregadas de saberes, memórias e sonhos. </w:t>
      </w:r>
    </w:p>
    <w:p w14:paraId="383E2B6A" w14:textId="77777777" w:rsidR="00DB4150" w:rsidRPr="00E948C3" w:rsidRDefault="00B16874">
      <w:pPr>
        <w:widowControl/>
        <w:spacing w:line="360" w:lineRule="auto"/>
        <w:ind w:firstLine="705"/>
        <w:jc w:val="both"/>
        <w:rPr>
          <w:sz w:val="24"/>
          <w:szCs w:val="24"/>
        </w:rPr>
      </w:pPr>
      <w:r w:rsidRPr="00E948C3">
        <w:rPr>
          <w:sz w:val="24"/>
          <w:szCs w:val="24"/>
        </w:rPr>
        <w:t xml:space="preserve">Aquilombar é, portanto, uma chave simbólica que revela a potência da coletividade como forma de resistência e criação. Mais do que um gesto de união, aquilombar é um movimento que convoca memórias ancestrais e projeta futuros possíveis. É a prática de transformar espaços em territórios de vida, onde o saber </w:t>
      </w:r>
      <w:r w:rsidRPr="00E948C3">
        <w:rPr>
          <w:sz w:val="24"/>
          <w:szCs w:val="24"/>
        </w:rPr>
        <w:lastRenderedPageBreak/>
        <w:t>não se limita às paredes da academia, mas se expande em diálogo com comunidades, tradições e lutas.</w:t>
      </w:r>
    </w:p>
    <w:p w14:paraId="383E2B6C" w14:textId="48212F35" w:rsidR="00DB4150" w:rsidRPr="00E948C3" w:rsidRDefault="00B16874">
      <w:pPr>
        <w:widowControl/>
        <w:spacing w:line="360" w:lineRule="auto"/>
        <w:ind w:firstLine="705"/>
        <w:jc w:val="both"/>
        <w:rPr>
          <w:sz w:val="24"/>
          <w:szCs w:val="24"/>
        </w:rPr>
      </w:pPr>
      <w:r w:rsidRPr="00E948C3">
        <w:rPr>
          <w:sz w:val="24"/>
          <w:szCs w:val="24"/>
        </w:rPr>
        <w:t>Aquilombar significa reinventar a universidade como lugar de encontro, de partilha e de insurgência contra as lógicas excludentes do colonialismo e do racismo. É afirmar que o conhecimento nasce da experiência coletiva, da solidariedade e da construção de alternativas que desafiam o isolamento e a fragmentação.</w:t>
      </w:r>
      <w:r w:rsidR="00B02830" w:rsidRPr="00E948C3">
        <w:rPr>
          <w:sz w:val="24"/>
          <w:szCs w:val="24"/>
        </w:rPr>
        <w:t xml:space="preserve"> </w:t>
      </w:r>
      <w:r w:rsidRPr="00E948C3">
        <w:rPr>
          <w:sz w:val="24"/>
          <w:szCs w:val="24"/>
        </w:rPr>
        <w:t>Assim, aquilombar é criar brechas e oportunidades para que novas narrativas floresçam, é cultivar vínculos que sustentam a esperança e é afirmar que a educação, quando aquilombada, se torna um ato de liberdade, dignidade e justiça.</w:t>
      </w:r>
    </w:p>
    <w:p w14:paraId="383E2B6D" w14:textId="78679C58" w:rsidR="00DB4150" w:rsidRPr="00E948C3" w:rsidRDefault="00B1687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sz w:val="24"/>
          <w:szCs w:val="24"/>
        </w:rPr>
      </w:pPr>
      <w:r w:rsidRPr="00E948C3">
        <w:rPr>
          <w:sz w:val="24"/>
          <w:szCs w:val="24"/>
        </w:rPr>
        <w:t xml:space="preserve">Se o quilombo africano e o quilombo brasileiro nos ensinaram que a autonomia se constrói coletivamente, a universidade aquilombada nos lembra que a educação é também um ato de reexistência. Cada curso, oficina, cartilha e encontro se soma a uma trama maior, </w:t>
      </w:r>
      <w:r w:rsidR="00515DD1" w:rsidRPr="00E948C3">
        <w:rPr>
          <w:sz w:val="24"/>
          <w:szCs w:val="24"/>
        </w:rPr>
        <w:t>na qual</w:t>
      </w:r>
      <w:r w:rsidRPr="00E948C3">
        <w:rPr>
          <w:sz w:val="24"/>
          <w:szCs w:val="24"/>
        </w:rPr>
        <w:t xml:space="preserve"> o que se produz </w:t>
      </w:r>
      <w:r w:rsidR="00474C43" w:rsidRPr="00E948C3">
        <w:rPr>
          <w:sz w:val="24"/>
          <w:szCs w:val="24"/>
        </w:rPr>
        <w:t>está para além do</w:t>
      </w:r>
      <w:r w:rsidRPr="00E948C3">
        <w:rPr>
          <w:sz w:val="24"/>
          <w:szCs w:val="24"/>
        </w:rPr>
        <w:t xml:space="preserve"> conteúdo, mas vínculos, consciência e ação. Seguimos, assim, tecendo um presente que honre a ancestralidade e projete um futuro em que nossas crianças e juventudes possam viver com dignidade</w:t>
      </w:r>
      <w:r w:rsidR="00474C43" w:rsidRPr="00E948C3">
        <w:rPr>
          <w:sz w:val="24"/>
          <w:szCs w:val="24"/>
        </w:rPr>
        <w:t xml:space="preserve"> em uma sociedade que os valorize e garanta seus direitos</w:t>
      </w:r>
      <w:r w:rsidRPr="00E948C3">
        <w:rPr>
          <w:sz w:val="24"/>
          <w:szCs w:val="24"/>
        </w:rPr>
        <w:t xml:space="preserve">. Que cada passo deste caminho seja guiado pela certeza de que aquilombar é preciso — ontem, hoje e sempre. </w:t>
      </w:r>
    </w:p>
    <w:p w14:paraId="383E2B6E" w14:textId="77777777" w:rsidR="00DB4150" w:rsidRDefault="00DB4150">
      <w:pPr>
        <w:widowControl/>
        <w:spacing w:line="360" w:lineRule="auto"/>
        <w:jc w:val="both"/>
        <w:rPr>
          <w:sz w:val="24"/>
          <w:szCs w:val="24"/>
        </w:rPr>
      </w:pPr>
    </w:p>
    <w:p w14:paraId="383E2B6F" w14:textId="77777777" w:rsidR="00DB4150" w:rsidRDefault="00B16874">
      <w:pPr>
        <w:widowControl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Referências Bibliográficas</w:t>
      </w:r>
    </w:p>
    <w:p w14:paraId="383E2B70" w14:textId="77777777" w:rsidR="00DB4150" w:rsidRDefault="00DB4150">
      <w:pPr>
        <w:widowControl/>
        <w:jc w:val="both"/>
        <w:rPr>
          <w:sz w:val="24"/>
          <w:szCs w:val="24"/>
        </w:rPr>
      </w:pPr>
    </w:p>
    <w:p w14:paraId="6F9E18C1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ALEXANDER, Michelle. </w:t>
      </w:r>
      <w:r w:rsidRPr="006A6C8E">
        <w:rPr>
          <w:i/>
          <w:iCs/>
          <w:color w:val="000000"/>
          <w:sz w:val="24"/>
          <w:szCs w:val="24"/>
        </w:rPr>
        <w:t>A nova segregação: racismo e encarceramento em massa</w:t>
      </w:r>
      <w:r w:rsidRPr="006A6C8E">
        <w:rPr>
          <w:color w:val="000000"/>
          <w:sz w:val="24"/>
          <w:szCs w:val="24"/>
        </w:rPr>
        <w:t>. São Paulo: Boitempo, 2017.</w:t>
      </w:r>
    </w:p>
    <w:p w14:paraId="1F289F86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ALMEIDA, Magali da Silva. Desumanização da população negra: genocídio como princípio tácito do capitalismo. </w:t>
      </w:r>
      <w:r w:rsidRPr="006A6C8E">
        <w:rPr>
          <w:i/>
          <w:iCs/>
          <w:color w:val="000000"/>
          <w:sz w:val="24"/>
          <w:szCs w:val="24"/>
        </w:rPr>
        <w:t>Revista Em Pauta</w:t>
      </w:r>
      <w:r w:rsidRPr="006A6C8E">
        <w:rPr>
          <w:color w:val="000000"/>
          <w:sz w:val="24"/>
          <w:szCs w:val="24"/>
        </w:rPr>
        <w:t>, Rio de Janeiro, v. 12, n. 34, p. 131-154, 2014.</w:t>
      </w:r>
    </w:p>
    <w:p w14:paraId="747C9172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ALMEIDA, Silvio. </w:t>
      </w:r>
      <w:r w:rsidRPr="006A6C8E">
        <w:rPr>
          <w:i/>
          <w:iCs/>
          <w:color w:val="000000"/>
          <w:sz w:val="24"/>
          <w:szCs w:val="24"/>
        </w:rPr>
        <w:t>O que é racismo estrutural?</w:t>
      </w:r>
      <w:r w:rsidRPr="006A6C8E">
        <w:rPr>
          <w:color w:val="000000"/>
          <w:sz w:val="24"/>
          <w:szCs w:val="24"/>
        </w:rPr>
        <w:t xml:space="preserve"> Belo Horizonte: Letramento, 2018.</w:t>
      </w:r>
    </w:p>
    <w:p w14:paraId="69E4C456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FANON, Frantz. </w:t>
      </w:r>
      <w:r w:rsidRPr="006A6C8E">
        <w:rPr>
          <w:i/>
          <w:iCs/>
          <w:color w:val="000000"/>
          <w:sz w:val="24"/>
          <w:szCs w:val="24"/>
        </w:rPr>
        <w:t>Os condenados da terra</w:t>
      </w:r>
      <w:r w:rsidRPr="006A6C8E">
        <w:rPr>
          <w:color w:val="000000"/>
          <w:sz w:val="24"/>
          <w:szCs w:val="24"/>
        </w:rPr>
        <w:t>. Juiz de Fora: UFJF, 2005.</w:t>
      </w:r>
    </w:p>
    <w:p w14:paraId="084D1640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FREIRE, Paulo. </w:t>
      </w:r>
      <w:r w:rsidRPr="006A6C8E">
        <w:rPr>
          <w:i/>
          <w:iCs/>
          <w:color w:val="000000"/>
          <w:sz w:val="24"/>
          <w:szCs w:val="24"/>
        </w:rPr>
        <w:t>Pedagogia da autonomia: saberes necessários à prática educativa</w:t>
      </w:r>
      <w:r w:rsidRPr="006A6C8E">
        <w:rPr>
          <w:color w:val="000000"/>
          <w:sz w:val="24"/>
          <w:szCs w:val="24"/>
        </w:rPr>
        <w:t>. São Paulo: Paz e Terra, 1996.</w:t>
      </w:r>
    </w:p>
    <w:p w14:paraId="105B4429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GONZÁLEZ, Lélia. Racismo e sexismo na cultura brasileira. </w:t>
      </w:r>
      <w:r w:rsidRPr="006A6C8E">
        <w:rPr>
          <w:i/>
          <w:iCs/>
          <w:color w:val="000000"/>
          <w:sz w:val="24"/>
          <w:szCs w:val="24"/>
        </w:rPr>
        <w:t>Revista Ciências Sociais Hoje</w:t>
      </w:r>
      <w:r w:rsidRPr="006A6C8E">
        <w:rPr>
          <w:color w:val="000000"/>
          <w:sz w:val="24"/>
          <w:szCs w:val="24"/>
        </w:rPr>
        <w:t>, p. 223-244, 1984.</w:t>
      </w:r>
    </w:p>
    <w:p w14:paraId="18528122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lastRenderedPageBreak/>
        <w:t xml:space="preserve">GROSFOGUEL, Ramón. Para uma visão decolonial da crise civilizatória e dos paradigmas da esquerda ocidentalizada. In: BERNARDINO-COSTA, </w:t>
      </w:r>
      <w:proofErr w:type="spellStart"/>
      <w:r w:rsidRPr="006A6C8E">
        <w:rPr>
          <w:color w:val="000000"/>
          <w:sz w:val="24"/>
          <w:szCs w:val="24"/>
        </w:rPr>
        <w:t>Joaze</w:t>
      </w:r>
      <w:proofErr w:type="spellEnd"/>
      <w:r w:rsidRPr="006A6C8E">
        <w:rPr>
          <w:color w:val="000000"/>
          <w:sz w:val="24"/>
          <w:szCs w:val="24"/>
        </w:rPr>
        <w:t>; MALDONADO-TORRES, Nelson; GROSFOGUEL, Ramón (</w:t>
      </w:r>
      <w:proofErr w:type="spellStart"/>
      <w:r w:rsidRPr="006A6C8E">
        <w:rPr>
          <w:color w:val="000000"/>
          <w:sz w:val="24"/>
          <w:szCs w:val="24"/>
        </w:rPr>
        <w:t>orgs</w:t>
      </w:r>
      <w:proofErr w:type="spellEnd"/>
      <w:r w:rsidRPr="006A6C8E">
        <w:rPr>
          <w:color w:val="000000"/>
          <w:sz w:val="24"/>
          <w:szCs w:val="24"/>
        </w:rPr>
        <w:t xml:space="preserve">.). </w:t>
      </w:r>
      <w:r w:rsidRPr="006A6C8E">
        <w:rPr>
          <w:i/>
          <w:iCs/>
          <w:color w:val="000000"/>
          <w:sz w:val="24"/>
          <w:szCs w:val="24"/>
        </w:rPr>
        <w:t xml:space="preserve">Decolonialidade e pensamento </w:t>
      </w:r>
      <w:proofErr w:type="spellStart"/>
      <w:r w:rsidRPr="006A6C8E">
        <w:rPr>
          <w:i/>
          <w:iCs/>
          <w:color w:val="000000"/>
          <w:sz w:val="24"/>
          <w:szCs w:val="24"/>
        </w:rPr>
        <w:t>afrodiaspórico</w:t>
      </w:r>
      <w:proofErr w:type="spellEnd"/>
      <w:r w:rsidRPr="006A6C8E">
        <w:rPr>
          <w:color w:val="000000"/>
          <w:sz w:val="24"/>
          <w:szCs w:val="24"/>
        </w:rPr>
        <w:t>. Belo Horizonte: Autêntica, 2019.</w:t>
      </w:r>
    </w:p>
    <w:p w14:paraId="3030BD95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MARX, Karl. </w:t>
      </w:r>
      <w:r w:rsidRPr="006A6C8E">
        <w:rPr>
          <w:i/>
          <w:iCs/>
          <w:color w:val="000000"/>
          <w:sz w:val="24"/>
          <w:szCs w:val="24"/>
        </w:rPr>
        <w:t>O capital: crítica da economia política</w:t>
      </w:r>
      <w:r w:rsidRPr="006A6C8E">
        <w:rPr>
          <w:color w:val="000000"/>
          <w:sz w:val="24"/>
          <w:szCs w:val="24"/>
        </w:rPr>
        <w:t>. São Paulo: Abril Cultural, 1985.</w:t>
      </w:r>
    </w:p>
    <w:p w14:paraId="58E5DADD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MBEMBE, Achille. </w:t>
      </w:r>
      <w:r w:rsidRPr="006A6C8E">
        <w:rPr>
          <w:i/>
          <w:iCs/>
          <w:color w:val="000000"/>
          <w:sz w:val="24"/>
          <w:szCs w:val="24"/>
        </w:rPr>
        <w:t>Crítica da razão negra</w:t>
      </w:r>
      <w:r w:rsidRPr="006A6C8E">
        <w:rPr>
          <w:color w:val="000000"/>
          <w:sz w:val="24"/>
          <w:szCs w:val="24"/>
        </w:rPr>
        <w:t>. Lisboa: Antígona, 2014.</w:t>
      </w:r>
    </w:p>
    <w:p w14:paraId="050A330B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MOURA, Clóvis. </w:t>
      </w:r>
      <w:r w:rsidRPr="006A6C8E">
        <w:rPr>
          <w:i/>
          <w:iCs/>
          <w:color w:val="000000"/>
          <w:sz w:val="24"/>
          <w:szCs w:val="24"/>
        </w:rPr>
        <w:t>Quilombos: resistência ao escravismo</w:t>
      </w:r>
      <w:r w:rsidRPr="006A6C8E">
        <w:rPr>
          <w:color w:val="000000"/>
          <w:sz w:val="24"/>
          <w:szCs w:val="24"/>
        </w:rPr>
        <w:t>. São Paulo: Ática, 1989.</w:t>
      </w:r>
    </w:p>
    <w:p w14:paraId="7354EFE7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NASCIMENTO, Abdias. </w:t>
      </w:r>
      <w:r w:rsidRPr="006A6C8E">
        <w:rPr>
          <w:i/>
          <w:iCs/>
          <w:color w:val="000000"/>
          <w:sz w:val="24"/>
          <w:szCs w:val="24"/>
        </w:rPr>
        <w:t>O genocídio do negro brasileiro: processo de um racismo mascarado</w:t>
      </w:r>
      <w:r w:rsidRPr="006A6C8E">
        <w:rPr>
          <w:color w:val="000000"/>
          <w:sz w:val="24"/>
          <w:szCs w:val="24"/>
        </w:rPr>
        <w:t>. 3. ed. São Paulo: Perspectiva, 2016.</w:t>
      </w:r>
    </w:p>
    <w:p w14:paraId="1C8478FD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NASCIMENTO, Maria Beatriz. O conceito de quilombo e a resistência cultural negra. In: NASCIMENTO, Maria Beatriz. </w:t>
      </w:r>
      <w:r w:rsidRPr="006A6C8E">
        <w:rPr>
          <w:i/>
          <w:iCs/>
          <w:color w:val="000000"/>
          <w:sz w:val="24"/>
          <w:szCs w:val="24"/>
        </w:rPr>
        <w:t>Quilombola e intelectual: possibilidade nos dias da destruição</w:t>
      </w:r>
      <w:r w:rsidRPr="006A6C8E">
        <w:rPr>
          <w:color w:val="000000"/>
          <w:sz w:val="24"/>
          <w:szCs w:val="24"/>
        </w:rPr>
        <w:t>. Rio de Janeiro: Filhos da África, 2018.</w:t>
      </w:r>
    </w:p>
    <w:p w14:paraId="2122565B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QUIJANO, Aníbal. Colonialidade do poder, eurocentrismo e América Latina. In: LANDER, Edgardo (org.). </w:t>
      </w:r>
      <w:r w:rsidRPr="006A6C8E">
        <w:rPr>
          <w:i/>
          <w:iCs/>
          <w:color w:val="000000"/>
          <w:sz w:val="24"/>
          <w:szCs w:val="24"/>
        </w:rPr>
        <w:t>A colonialidade do saber: eurocentrismo e ciências sociais</w:t>
      </w:r>
      <w:r w:rsidRPr="006A6C8E">
        <w:rPr>
          <w:color w:val="000000"/>
          <w:sz w:val="24"/>
          <w:szCs w:val="24"/>
        </w:rPr>
        <w:t>. Buenos Aires: CLACSO, 2005. p. 107-126.</w:t>
      </w:r>
    </w:p>
    <w:p w14:paraId="3D57AFBC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RATTS, Alex. </w:t>
      </w:r>
      <w:r w:rsidRPr="006A6C8E">
        <w:rPr>
          <w:i/>
          <w:iCs/>
          <w:color w:val="000000"/>
          <w:sz w:val="24"/>
          <w:szCs w:val="24"/>
        </w:rPr>
        <w:t>Eu sou atlântica: sobre a trajetória de vida de Beatriz Nascimento</w:t>
      </w:r>
      <w:r w:rsidRPr="006A6C8E">
        <w:rPr>
          <w:color w:val="000000"/>
          <w:sz w:val="24"/>
          <w:szCs w:val="24"/>
        </w:rPr>
        <w:t xml:space="preserve">. São Paulo: Imprensa Oficial; Instituto </w:t>
      </w:r>
      <w:proofErr w:type="spellStart"/>
      <w:r w:rsidRPr="006A6C8E">
        <w:rPr>
          <w:color w:val="000000"/>
          <w:sz w:val="24"/>
          <w:szCs w:val="24"/>
        </w:rPr>
        <w:t>Kuanza</w:t>
      </w:r>
      <w:proofErr w:type="spellEnd"/>
      <w:r w:rsidRPr="006A6C8E">
        <w:rPr>
          <w:color w:val="000000"/>
          <w:sz w:val="24"/>
          <w:szCs w:val="24"/>
        </w:rPr>
        <w:t>, 2006.</w:t>
      </w:r>
    </w:p>
    <w:p w14:paraId="67FD8E7E" w14:textId="77777777" w:rsid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ROCHA, Andréa Pires. </w:t>
      </w:r>
      <w:r w:rsidRPr="006A6C8E">
        <w:rPr>
          <w:i/>
          <w:iCs/>
          <w:color w:val="000000"/>
          <w:sz w:val="24"/>
          <w:szCs w:val="24"/>
        </w:rPr>
        <w:t>O juvenicídio brasileiro: racismo, guerra às drogas e prisões</w:t>
      </w:r>
      <w:r w:rsidRPr="006A6C8E">
        <w:rPr>
          <w:color w:val="000000"/>
          <w:sz w:val="24"/>
          <w:szCs w:val="24"/>
        </w:rPr>
        <w:t>. Londrina: EDUEL, 2020.</w:t>
      </w:r>
    </w:p>
    <w:p w14:paraId="32FAE777" w14:textId="29603978" w:rsidR="0014637D" w:rsidRPr="006A6C8E" w:rsidRDefault="0014637D" w:rsidP="0014637D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40285E">
        <w:rPr>
          <w:color w:val="000000"/>
          <w:sz w:val="24"/>
          <w:szCs w:val="24"/>
        </w:rPr>
        <w:t xml:space="preserve">ROCHA, A. P. </w:t>
      </w:r>
      <w:r w:rsidRPr="0040285E">
        <w:rPr>
          <w:i/>
          <w:iCs/>
          <w:color w:val="000000"/>
          <w:sz w:val="24"/>
          <w:szCs w:val="24"/>
        </w:rPr>
        <w:t>Direitos humanos e os determinantes da colonialidade: racismo, colonialismo e capitalismo</w:t>
      </w:r>
      <w:r w:rsidRPr="0040285E">
        <w:rPr>
          <w:color w:val="000000"/>
          <w:sz w:val="24"/>
          <w:szCs w:val="24"/>
        </w:rPr>
        <w:t xml:space="preserve">. Serviço Social em Debate, v. 4, n. 1, 2021. Disponível em: </w:t>
      </w:r>
      <w:hyperlink r:id="rId13" w:tgtFrame="_new" w:history="1">
        <w:r w:rsidRPr="0040285E">
          <w:rPr>
            <w:rStyle w:val="Hyperlink"/>
            <w:sz w:val="24"/>
            <w:szCs w:val="24"/>
          </w:rPr>
          <w:t>https://revista.uemg.br/serv-soc-debate/article/view/5652</w:t>
        </w:r>
      </w:hyperlink>
      <w:r w:rsidRPr="0040285E">
        <w:rPr>
          <w:color w:val="000000"/>
          <w:sz w:val="24"/>
          <w:szCs w:val="24"/>
        </w:rPr>
        <w:t xml:space="preserve">. Acesso em: </w:t>
      </w:r>
      <w:r>
        <w:rPr>
          <w:color w:val="000000"/>
          <w:sz w:val="24"/>
          <w:szCs w:val="24"/>
        </w:rPr>
        <w:t>10.10.2021</w:t>
      </w:r>
    </w:p>
    <w:p w14:paraId="7B0EE3E0" w14:textId="77777777" w:rsid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ROCHA, Andréa Pires (org.). </w:t>
      </w:r>
      <w:proofErr w:type="spellStart"/>
      <w:r w:rsidRPr="006A6C8E">
        <w:rPr>
          <w:i/>
          <w:iCs/>
          <w:color w:val="000000"/>
          <w:sz w:val="24"/>
          <w:szCs w:val="24"/>
        </w:rPr>
        <w:t>Contracolonizando</w:t>
      </w:r>
      <w:proofErr w:type="spellEnd"/>
      <w:r w:rsidRPr="006A6C8E">
        <w:rPr>
          <w:i/>
          <w:iCs/>
          <w:color w:val="000000"/>
          <w:sz w:val="24"/>
          <w:szCs w:val="24"/>
        </w:rPr>
        <w:t xml:space="preserve"> direitos humanos, infância e juventude: inspirações para extensão universitária, ações populares e parcerias Sul-Sul</w:t>
      </w:r>
      <w:r w:rsidRPr="006A6C8E">
        <w:rPr>
          <w:color w:val="000000"/>
          <w:sz w:val="24"/>
          <w:szCs w:val="24"/>
        </w:rPr>
        <w:t xml:space="preserve">. São Carlos: Pedro &amp; João Editores, 2025. Disponível em: </w:t>
      </w:r>
      <w:hyperlink r:id="rId14" w:tgtFrame="_new" w:history="1">
        <w:r w:rsidRPr="006A6C8E">
          <w:rPr>
            <w:rStyle w:val="Hyperlink"/>
            <w:sz w:val="24"/>
            <w:szCs w:val="24"/>
          </w:rPr>
          <w:t>https://pedroejoaoeditores.com.br/produto/contracolonizando-direitos-humanos-infancia-e-juventude-inspiracoes-para-extensao-universitaria-acoes-populares-e-parcerias-sul-sul/</w:t>
        </w:r>
      </w:hyperlink>
    </w:p>
    <w:p w14:paraId="15E36516" w14:textId="77777777" w:rsidR="00A82013" w:rsidRDefault="00A82013" w:rsidP="00A82013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ROCHA, Andréa Pires; SANTOS, José Francisco. Ensino da história da África e da diáspora africana: instrumento para uma educação afro-latino-americana antirracista. </w:t>
      </w:r>
      <w:r w:rsidRPr="006A6C8E">
        <w:rPr>
          <w:i/>
          <w:iCs/>
          <w:color w:val="000000"/>
          <w:sz w:val="24"/>
          <w:szCs w:val="24"/>
        </w:rPr>
        <w:t>Crítica e Sociedade</w:t>
      </w:r>
      <w:r w:rsidRPr="006A6C8E">
        <w:rPr>
          <w:color w:val="000000"/>
          <w:sz w:val="24"/>
          <w:szCs w:val="24"/>
        </w:rPr>
        <w:t>, Uberlândia, v. 10, n. 1, 2020.</w:t>
      </w:r>
      <w:r w:rsidRPr="0014637D">
        <w:rPr>
          <w:color w:val="000000"/>
          <w:sz w:val="24"/>
          <w:szCs w:val="24"/>
        </w:rPr>
        <w:t xml:space="preserve"> </w:t>
      </w:r>
    </w:p>
    <w:p w14:paraId="17D19FA5" w14:textId="52155ED0" w:rsidR="00D45869" w:rsidRDefault="00D45869" w:rsidP="00A82013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D45869">
        <w:rPr>
          <w:color w:val="000000"/>
          <w:sz w:val="24"/>
          <w:szCs w:val="24"/>
        </w:rPr>
        <w:lastRenderedPageBreak/>
        <w:t>SANTOS, Boaventura de Sousa; MENESES, Maria Paula (</w:t>
      </w:r>
      <w:proofErr w:type="spellStart"/>
      <w:r w:rsidRPr="00D45869">
        <w:rPr>
          <w:color w:val="000000"/>
          <w:sz w:val="24"/>
          <w:szCs w:val="24"/>
        </w:rPr>
        <w:t>orgs</w:t>
      </w:r>
      <w:proofErr w:type="spellEnd"/>
      <w:r w:rsidRPr="00D45869">
        <w:rPr>
          <w:color w:val="000000"/>
          <w:sz w:val="24"/>
          <w:szCs w:val="24"/>
        </w:rPr>
        <w:t>.).</w:t>
      </w:r>
      <w:r w:rsidRPr="00D45869">
        <w:rPr>
          <w:color w:val="000000"/>
          <w:sz w:val="24"/>
          <w:szCs w:val="24"/>
        </w:rPr>
        <w:br/>
      </w:r>
      <w:r w:rsidRPr="00215284">
        <w:rPr>
          <w:i/>
          <w:iCs/>
          <w:color w:val="000000"/>
          <w:sz w:val="24"/>
          <w:szCs w:val="24"/>
        </w:rPr>
        <w:t>Epistemologias do Sul</w:t>
      </w:r>
      <w:r w:rsidRPr="00D45869">
        <w:rPr>
          <w:color w:val="000000"/>
          <w:sz w:val="24"/>
          <w:szCs w:val="24"/>
        </w:rPr>
        <w:t>. São Paulo: Cortez, 2010.</w:t>
      </w:r>
    </w:p>
    <w:p w14:paraId="21C8BB2A" w14:textId="66074DDB" w:rsidR="0014637D" w:rsidRDefault="0014637D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14637D">
        <w:rPr>
          <w:color w:val="000000"/>
          <w:sz w:val="24"/>
          <w:szCs w:val="24"/>
        </w:rPr>
        <w:t xml:space="preserve">TRINDADE, José Damião de Lima. Os direitos humanos: para além do capital. In: BRITES, Cristina M.; FORTI, Valeria (org.). Direitos humanos e serviço social: polêmicas, debates e embates. Rio de Janeiro: </w:t>
      </w:r>
      <w:proofErr w:type="spellStart"/>
      <w:r w:rsidRPr="0014637D">
        <w:rPr>
          <w:color w:val="000000"/>
          <w:sz w:val="24"/>
          <w:szCs w:val="24"/>
        </w:rPr>
        <w:t>Lumen</w:t>
      </w:r>
      <w:proofErr w:type="spellEnd"/>
      <w:r w:rsidRPr="0014637D">
        <w:rPr>
          <w:color w:val="000000"/>
          <w:sz w:val="24"/>
          <w:szCs w:val="24"/>
        </w:rPr>
        <w:t xml:space="preserve"> Juris, 2011.</w:t>
      </w:r>
    </w:p>
    <w:p w14:paraId="0549147F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VALENZUELA, José Manuel (coord.). </w:t>
      </w:r>
      <w:proofErr w:type="spellStart"/>
      <w:r w:rsidRPr="006A6C8E">
        <w:rPr>
          <w:i/>
          <w:iCs/>
          <w:color w:val="000000"/>
          <w:sz w:val="24"/>
          <w:szCs w:val="24"/>
        </w:rPr>
        <w:t>Juvenicidio</w:t>
      </w:r>
      <w:proofErr w:type="spellEnd"/>
      <w:r w:rsidRPr="006A6C8E">
        <w:rPr>
          <w:i/>
          <w:iCs/>
          <w:color w:val="000000"/>
          <w:sz w:val="24"/>
          <w:szCs w:val="24"/>
        </w:rPr>
        <w:t xml:space="preserve">: </w:t>
      </w:r>
      <w:proofErr w:type="spellStart"/>
      <w:r w:rsidRPr="006A6C8E">
        <w:rPr>
          <w:i/>
          <w:iCs/>
          <w:color w:val="000000"/>
          <w:sz w:val="24"/>
          <w:szCs w:val="24"/>
        </w:rPr>
        <w:t>Ayotzinapa</w:t>
      </w:r>
      <w:proofErr w:type="spellEnd"/>
      <w:r w:rsidRPr="006A6C8E">
        <w:rPr>
          <w:i/>
          <w:iCs/>
          <w:color w:val="000000"/>
          <w:sz w:val="24"/>
          <w:szCs w:val="24"/>
        </w:rPr>
        <w:t xml:space="preserve"> y </w:t>
      </w:r>
      <w:proofErr w:type="spellStart"/>
      <w:r w:rsidRPr="006A6C8E">
        <w:rPr>
          <w:i/>
          <w:iCs/>
          <w:color w:val="000000"/>
          <w:sz w:val="24"/>
          <w:szCs w:val="24"/>
        </w:rPr>
        <w:t>las</w:t>
      </w:r>
      <w:proofErr w:type="spellEnd"/>
      <w:r w:rsidRPr="006A6C8E">
        <w:rPr>
          <w:i/>
          <w:iCs/>
          <w:color w:val="000000"/>
          <w:sz w:val="24"/>
          <w:szCs w:val="24"/>
        </w:rPr>
        <w:t xml:space="preserve"> vidas </w:t>
      </w:r>
      <w:proofErr w:type="spellStart"/>
      <w:r w:rsidRPr="006A6C8E">
        <w:rPr>
          <w:i/>
          <w:iCs/>
          <w:color w:val="000000"/>
          <w:sz w:val="24"/>
          <w:szCs w:val="24"/>
        </w:rPr>
        <w:t>precarias</w:t>
      </w:r>
      <w:proofErr w:type="spellEnd"/>
      <w:r w:rsidRPr="006A6C8E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6A6C8E">
        <w:rPr>
          <w:i/>
          <w:iCs/>
          <w:color w:val="000000"/>
          <w:sz w:val="24"/>
          <w:szCs w:val="24"/>
        </w:rPr>
        <w:t>en</w:t>
      </w:r>
      <w:proofErr w:type="spellEnd"/>
      <w:r w:rsidRPr="006A6C8E">
        <w:rPr>
          <w:i/>
          <w:iCs/>
          <w:color w:val="000000"/>
          <w:sz w:val="24"/>
          <w:szCs w:val="24"/>
        </w:rPr>
        <w:t xml:space="preserve"> América Latina y </w:t>
      </w:r>
      <w:proofErr w:type="spellStart"/>
      <w:r w:rsidRPr="006A6C8E">
        <w:rPr>
          <w:i/>
          <w:iCs/>
          <w:color w:val="000000"/>
          <w:sz w:val="24"/>
          <w:szCs w:val="24"/>
        </w:rPr>
        <w:t>España</w:t>
      </w:r>
      <w:proofErr w:type="spellEnd"/>
      <w:r w:rsidRPr="006A6C8E">
        <w:rPr>
          <w:color w:val="000000"/>
          <w:sz w:val="24"/>
          <w:szCs w:val="24"/>
        </w:rPr>
        <w:t xml:space="preserve">. Barcelona: Ned </w:t>
      </w:r>
      <w:proofErr w:type="spellStart"/>
      <w:r w:rsidRPr="006A6C8E">
        <w:rPr>
          <w:color w:val="000000"/>
          <w:sz w:val="24"/>
          <w:szCs w:val="24"/>
        </w:rPr>
        <w:t>Ediciones</w:t>
      </w:r>
      <w:proofErr w:type="spellEnd"/>
      <w:r w:rsidRPr="006A6C8E">
        <w:rPr>
          <w:color w:val="000000"/>
          <w:sz w:val="24"/>
          <w:szCs w:val="24"/>
        </w:rPr>
        <w:t>, 2015.</w:t>
      </w:r>
    </w:p>
    <w:p w14:paraId="5FA3F306" w14:textId="77777777" w:rsidR="006A6C8E" w:rsidRP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WACQUANT, </w:t>
      </w:r>
      <w:proofErr w:type="spellStart"/>
      <w:r w:rsidRPr="006A6C8E">
        <w:rPr>
          <w:color w:val="000000"/>
          <w:sz w:val="24"/>
          <w:szCs w:val="24"/>
        </w:rPr>
        <w:t>Loïc</w:t>
      </w:r>
      <w:proofErr w:type="spellEnd"/>
      <w:r w:rsidRPr="006A6C8E">
        <w:rPr>
          <w:color w:val="000000"/>
          <w:sz w:val="24"/>
          <w:szCs w:val="24"/>
        </w:rPr>
        <w:t xml:space="preserve">. </w:t>
      </w:r>
      <w:r w:rsidRPr="006A6C8E">
        <w:rPr>
          <w:i/>
          <w:iCs/>
          <w:color w:val="000000"/>
          <w:sz w:val="24"/>
          <w:szCs w:val="24"/>
        </w:rPr>
        <w:t>Punir os pobres: a nova gestão da miséria nos Estados Unidos</w:t>
      </w:r>
      <w:r w:rsidRPr="006A6C8E">
        <w:rPr>
          <w:color w:val="000000"/>
          <w:sz w:val="24"/>
          <w:szCs w:val="24"/>
        </w:rPr>
        <w:t>. 3. ed. Rio de Janeiro: Revan, 2013.</w:t>
      </w:r>
    </w:p>
    <w:p w14:paraId="2FAF116F" w14:textId="77777777" w:rsidR="006A6C8E" w:rsidRDefault="006A6C8E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A6C8E">
        <w:rPr>
          <w:color w:val="000000"/>
          <w:sz w:val="24"/>
          <w:szCs w:val="24"/>
        </w:rPr>
        <w:t xml:space="preserve">WILLIAMS, Eric. </w:t>
      </w:r>
      <w:r w:rsidRPr="006A6C8E">
        <w:rPr>
          <w:i/>
          <w:iCs/>
          <w:color w:val="000000"/>
          <w:sz w:val="24"/>
          <w:szCs w:val="24"/>
        </w:rPr>
        <w:t>Capitalismo e escravidão</w:t>
      </w:r>
      <w:r w:rsidRPr="006A6C8E">
        <w:rPr>
          <w:color w:val="000000"/>
          <w:sz w:val="24"/>
          <w:szCs w:val="24"/>
        </w:rPr>
        <w:t>. São Paulo: Companhia das Letras, 2012.</w:t>
      </w:r>
    </w:p>
    <w:p w14:paraId="5623F76C" w14:textId="77777777" w:rsidR="0098346B" w:rsidRPr="006A6C8E" w:rsidRDefault="0098346B" w:rsidP="006A6C8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83E2B9B" w14:textId="77777777" w:rsidR="00DB4150" w:rsidRDefault="00DB415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sectPr w:rsidR="00DB4150">
      <w:headerReference w:type="default" r:id="rId15"/>
      <w:footerReference w:type="default" r:id="rId16"/>
      <w:pgSz w:w="11910" w:h="16840"/>
      <w:pgMar w:top="391" w:right="1298" w:bottom="278" w:left="1599" w:header="159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38111" w14:textId="77777777" w:rsidR="00334A69" w:rsidRDefault="00334A69">
      <w:r>
        <w:separator/>
      </w:r>
    </w:p>
  </w:endnote>
  <w:endnote w:type="continuationSeparator" w:id="0">
    <w:p w14:paraId="5353B0BE" w14:textId="77777777" w:rsidR="00334A69" w:rsidRDefault="0033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9FAE0C3-B820-4F1D-A365-31CC9A040B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37F7D7A-2247-4A88-A1F4-59D209860206}"/>
    <w:embedBold r:id="rId3" w:fontKey="{E0CD886A-85F3-4502-B623-F81A962CE6C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8C1E300-F37C-4929-BEA9-869A95D9512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4400C2A6-F9E0-4857-A6EA-BC89E331EA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2BA4" w14:textId="77777777" w:rsidR="00DB4150" w:rsidRDefault="00B16874">
    <w:pPr>
      <w:spacing w:before="96" w:line="183" w:lineRule="auto"/>
      <w:ind w:left="172" w:right="471"/>
      <w:jc w:val="center"/>
      <w:rPr>
        <w:sz w:val="16"/>
        <w:szCs w:val="16"/>
      </w:rPr>
    </w:pPr>
    <w:r>
      <w:rPr>
        <w:sz w:val="16"/>
        <w:szCs w:val="16"/>
      </w:rPr>
      <w:t>Anais do II Simpósio Internacional Práxis Itinerante: Juventudes e Direitos Humanos</w:t>
    </w:r>
  </w:p>
  <w:p w14:paraId="383E2BA5" w14:textId="77777777" w:rsidR="00DB4150" w:rsidRDefault="00B16874">
    <w:pPr>
      <w:spacing w:line="183" w:lineRule="auto"/>
      <w:ind w:left="172" w:right="179"/>
      <w:jc w:val="center"/>
      <w:rPr>
        <w:color w:val="000000"/>
        <w:sz w:val="15"/>
        <w:szCs w:val="15"/>
      </w:rPr>
    </w:pPr>
    <w:r>
      <w:rPr>
        <w:sz w:val="16"/>
        <w:szCs w:val="16"/>
      </w:rPr>
      <w:t xml:space="preserve">13 a 15 de abril de 2026, UEL – Paraná </w:t>
    </w:r>
    <w:r>
      <w:rPr>
        <w:noProof/>
      </w:rPr>
      <w:drawing>
        <wp:anchor distT="0" distB="0" distL="0" distR="0" simplePos="0" relativeHeight="251659264" behindDoc="0" locked="0" layoutInCell="1" hidden="0" allowOverlap="1" wp14:anchorId="383E2BA9" wp14:editId="383E2BAA">
          <wp:simplePos x="0" y="0"/>
          <wp:positionH relativeFrom="column">
            <wp:posOffset>3628720</wp:posOffset>
          </wp:positionH>
          <wp:positionV relativeFrom="paragraph">
            <wp:posOffset>138430</wp:posOffset>
          </wp:positionV>
          <wp:extent cx="1223010" cy="528320"/>
          <wp:effectExtent l="0" t="0" r="0" b="0"/>
          <wp:wrapNone/>
          <wp:docPr id="1441755185" name="image6.png" descr="Uma imagem contendo placa, desenho, perto, ru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Uma imagem contendo placa, desenho, perto, ru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3010" cy="528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 wp14:anchorId="383E2BAB" wp14:editId="383E2BAC">
          <wp:simplePos x="0" y="0"/>
          <wp:positionH relativeFrom="column">
            <wp:posOffset>-94587</wp:posOffset>
          </wp:positionH>
          <wp:positionV relativeFrom="paragraph">
            <wp:posOffset>150419</wp:posOffset>
          </wp:positionV>
          <wp:extent cx="1243330" cy="537210"/>
          <wp:effectExtent l="0" t="0" r="0" b="0"/>
          <wp:wrapTopAndBottom distT="0" distB="0"/>
          <wp:docPr id="1441755184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330" cy="537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383E2BAD" wp14:editId="383E2BAE">
          <wp:simplePos x="0" y="0"/>
          <wp:positionH relativeFrom="column">
            <wp:posOffset>1319860</wp:posOffset>
          </wp:positionH>
          <wp:positionV relativeFrom="paragraph">
            <wp:posOffset>108585</wp:posOffset>
          </wp:positionV>
          <wp:extent cx="824865" cy="568960"/>
          <wp:effectExtent l="0" t="0" r="0" b="0"/>
          <wp:wrapNone/>
          <wp:docPr id="144175518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4865" cy="568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383E2BAF" wp14:editId="383E2BB0">
          <wp:simplePos x="0" y="0"/>
          <wp:positionH relativeFrom="column">
            <wp:posOffset>2391740</wp:posOffset>
          </wp:positionH>
          <wp:positionV relativeFrom="paragraph">
            <wp:posOffset>85090</wp:posOffset>
          </wp:positionV>
          <wp:extent cx="982345" cy="629920"/>
          <wp:effectExtent l="0" t="0" r="0" b="0"/>
          <wp:wrapNone/>
          <wp:docPr id="144175518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345" cy="629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383E2BB1" wp14:editId="383E2BB2">
          <wp:simplePos x="0" y="0"/>
          <wp:positionH relativeFrom="column">
            <wp:posOffset>5063490</wp:posOffset>
          </wp:positionH>
          <wp:positionV relativeFrom="paragraph">
            <wp:posOffset>71343</wp:posOffset>
          </wp:positionV>
          <wp:extent cx="692785" cy="692785"/>
          <wp:effectExtent l="0" t="0" r="0" b="0"/>
          <wp:wrapNone/>
          <wp:docPr id="144175518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785" cy="692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3E2BA6" w14:textId="77777777" w:rsidR="00DB4150" w:rsidRDefault="00DB41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21010" w14:textId="77777777" w:rsidR="00334A69" w:rsidRDefault="00334A69">
      <w:r>
        <w:separator/>
      </w:r>
    </w:p>
  </w:footnote>
  <w:footnote w:type="continuationSeparator" w:id="0">
    <w:p w14:paraId="08BFE1A5" w14:textId="77777777" w:rsidR="00334A69" w:rsidRDefault="00334A69">
      <w:r>
        <w:continuationSeparator/>
      </w:r>
    </w:p>
  </w:footnote>
  <w:footnote w:id="1">
    <w:p w14:paraId="27B06B1E" w14:textId="6935BB9C" w:rsidR="00D4560A" w:rsidRDefault="00D4560A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D15714">
        <w:t xml:space="preserve">Informações sobre o Museu: </w:t>
      </w:r>
      <w:hyperlink r:id="rId1" w:history="1">
        <w:r w:rsidR="00D15714" w:rsidRPr="00004A7C">
          <w:rPr>
            <w:rStyle w:val="Hyperlink"/>
          </w:rPr>
          <w:t>https://momaa.org/directory/national-museum-of-slavery/</w:t>
        </w:r>
      </w:hyperlink>
    </w:p>
    <w:p w14:paraId="3D7AB4A8" w14:textId="77777777" w:rsidR="00D15714" w:rsidRDefault="00D15714">
      <w:pPr>
        <w:pStyle w:val="Textodenotaderodap"/>
      </w:pPr>
    </w:p>
  </w:footnote>
  <w:footnote w:id="2">
    <w:p w14:paraId="383E2BB7" w14:textId="77777777" w:rsidR="00DB4150" w:rsidRDefault="00B168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20"/>
          <w:szCs w:val="20"/>
        </w:rPr>
        <w:t xml:space="preserve"> Disponível em:  </w:t>
      </w:r>
      <w:hyperlink r:id="rId2">
        <w:r>
          <w:rPr>
            <w:rFonts w:ascii="Aptos" w:eastAsia="Aptos" w:hAnsi="Aptos" w:cs="Aptos"/>
            <w:color w:val="467886"/>
            <w:sz w:val="20"/>
            <w:szCs w:val="20"/>
            <w:u w:val="single"/>
          </w:rPr>
          <w:t>https://pedroejoaoeditores.com.br/produto/contracolonizando-direitos-humanos-infancia-e-juventude-inspiracoes-para-extensao-universitaria-acoes-populares-e-parcerias-sul-sul/</w:t>
        </w:r>
      </w:hyperlink>
    </w:p>
    <w:p w14:paraId="383E2BB8" w14:textId="77777777" w:rsidR="00DB4150" w:rsidRDefault="00DB415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2BA0" w14:textId="77777777" w:rsidR="00DB4150" w:rsidRDefault="00B168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83E2BA7" wp14:editId="383E2BA8">
          <wp:simplePos x="0" y="0"/>
          <wp:positionH relativeFrom="column">
            <wp:posOffset>2231553</wp:posOffset>
          </wp:positionH>
          <wp:positionV relativeFrom="paragraph">
            <wp:posOffset>109166</wp:posOffset>
          </wp:positionV>
          <wp:extent cx="1259174" cy="533400"/>
          <wp:effectExtent l="0" t="0" r="0" b="0"/>
          <wp:wrapNone/>
          <wp:docPr id="144175518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9174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3E2BA1" w14:textId="77777777" w:rsidR="00DB4150" w:rsidRDefault="00DB41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83E2BA2" w14:textId="77777777" w:rsidR="00DB4150" w:rsidRDefault="00DB41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83E2BA3" w14:textId="77777777" w:rsidR="00DB4150" w:rsidRDefault="00DB41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01440265" w14:textId="77777777" w:rsidR="009E2924" w:rsidRDefault="009E29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60B5A"/>
    <w:multiLevelType w:val="multilevel"/>
    <w:tmpl w:val="6DBA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052D4E"/>
    <w:multiLevelType w:val="multilevel"/>
    <w:tmpl w:val="93A8019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680968">
    <w:abstractNumId w:val="1"/>
  </w:num>
  <w:num w:numId="2" w16cid:durableId="560755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50"/>
    <w:rsid w:val="0005404A"/>
    <w:rsid w:val="0014637D"/>
    <w:rsid w:val="001A525D"/>
    <w:rsid w:val="001F08E7"/>
    <w:rsid w:val="001F1D0C"/>
    <w:rsid w:val="00215284"/>
    <w:rsid w:val="002A6C45"/>
    <w:rsid w:val="002B5A1C"/>
    <w:rsid w:val="002D061D"/>
    <w:rsid w:val="002D150C"/>
    <w:rsid w:val="002D17AA"/>
    <w:rsid w:val="002E4A99"/>
    <w:rsid w:val="002F0360"/>
    <w:rsid w:val="002F1941"/>
    <w:rsid w:val="002F29DB"/>
    <w:rsid w:val="00305F6B"/>
    <w:rsid w:val="0032249E"/>
    <w:rsid w:val="00334A69"/>
    <w:rsid w:val="0034545F"/>
    <w:rsid w:val="00364075"/>
    <w:rsid w:val="00386C69"/>
    <w:rsid w:val="003D4258"/>
    <w:rsid w:val="003F651E"/>
    <w:rsid w:val="003F6AE3"/>
    <w:rsid w:val="0040285E"/>
    <w:rsid w:val="004217B2"/>
    <w:rsid w:val="0043565A"/>
    <w:rsid w:val="00452769"/>
    <w:rsid w:val="00474C43"/>
    <w:rsid w:val="004B5AD3"/>
    <w:rsid w:val="004C4311"/>
    <w:rsid w:val="004D1049"/>
    <w:rsid w:val="00515DD1"/>
    <w:rsid w:val="00561B9A"/>
    <w:rsid w:val="00571198"/>
    <w:rsid w:val="00575B44"/>
    <w:rsid w:val="005C26ED"/>
    <w:rsid w:val="005D5DAF"/>
    <w:rsid w:val="005E1C98"/>
    <w:rsid w:val="0062022F"/>
    <w:rsid w:val="006369EF"/>
    <w:rsid w:val="00640082"/>
    <w:rsid w:val="0066405A"/>
    <w:rsid w:val="00691ABB"/>
    <w:rsid w:val="00697F73"/>
    <w:rsid w:val="006A6C8E"/>
    <w:rsid w:val="006E3403"/>
    <w:rsid w:val="006F1930"/>
    <w:rsid w:val="00704946"/>
    <w:rsid w:val="007071A7"/>
    <w:rsid w:val="00763119"/>
    <w:rsid w:val="007B7DD6"/>
    <w:rsid w:val="007C6343"/>
    <w:rsid w:val="007D5CC2"/>
    <w:rsid w:val="0083198F"/>
    <w:rsid w:val="008444B0"/>
    <w:rsid w:val="00871A9E"/>
    <w:rsid w:val="008953F1"/>
    <w:rsid w:val="008B15DA"/>
    <w:rsid w:val="008D44E7"/>
    <w:rsid w:val="008F25BD"/>
    <w:rsid w:val="00904AB1"/>
    <w:rsid w:val="0091779A"/>
    <w:rsid w:val="0092079F"/>
    <w:rsid w:val="009402B0"/>
    <w:rsid w:val="009802D9"/>
    <w:rsid w:val="00982F96"/>
    <w:rsid w:val="0098346B"/>
    <w:rsid w:val="009D27DE"/>
    <w:rsid w:val="009E2924"/>
    <w:rsid w:val="00A12350"/>
    <w:rsid w:val="00A157CE"/>
    <w:rsid w:val="00A3202B"/>
    <w:rsid w:val="00A3583F"/>
    <w:rsid w:val="00A36BAD"/>
    <w:rsid w:val="00A82013"/>
    <w:rsid w:val="00B02830"/>
    <w:rsid w:val="00B16874"/>
    <w:rsid w:val="00B84429"/>
    <w:rsid w:val="00B938AE"/>
    <w:rsid w:val="00BB64B8"/>
    <w:rsid w:val="00BC2177"/>
    <w:rsid w:val="00C00AE7"/>
    <w:rsid w:val="00CE458A"/>
    <w:rsid w:val="00D15714"/>
    <w:rsid w:val="00D4560A"/>
    <w:rsid w:val="00D45869"/>
    <w:rsid w:val="00D84C9F"/>
    <w:rsid w:val="00DB4150"/>
    <w:rsid w:val="00E54F03"/>
    <w:rsid w:val="00E9163B"/>
    <w:rsid w:val="00E948C3"/>
    <w:rsid w:val="00EA6906"/>
    <w:rsid w:val="00EB2E59"/>
    <w:rsid w:val="00EE29AB"/>
    <w:rsid w:val="00F03799"/>
    <w:rsid w:val="00F8543C"/>
    <w:rsid w:val="00F9356D"/>
    <w:rsid w:val="00FC25A8"/>
    <w:rsid w:val="00FD0517"/>
    <w:rsid w:val="00F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2B09"/>
  <w15:docId w15:val="{B2F53EFF-EABE-4864-AD03-8F6D8FFD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49"/>
      <w:ind w:left="172" w:right="182"/>
      <w:jc w:val="center"/>
    </w:pPr>
    <w:rPr>
      <w:b/>
      <w:bCs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E5E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5E6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E5E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5E6B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semiHidden/>
    <w:unhideWhenUsed/>
    <w:rsid w:val="00065B2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065B2B"/>
  </w:style>
  <w:style w:type="paragraph" w:customStyle="1" w:styleId="SubtituloProex">
    <w:name w:val="Subtitulo Proex"/>
    <w:basedOn w:val="Corpodetexto"/>
    <w:link w:val="SubtituloProexChar"/>
    <w:qFormat/>
    <w:rsid w:val="00762C13"/>
    <w:pPr>
      <w:spacing w:before="310" w:after="320" w:line="360" w:lineRule="auto"/>
      <w:jc w:val="center"/>
    </w:pPr>
    <w:rPr>
      <w:b/>
      <w:bCs/>
    </w:rPr>
  </w:style>
  <w:style w:type="character" w:customStyle="1" w:styleId="SubtituloProexChar">
    <w:name w:val="Subtitulo Proex Char"/>
    <w:basedOn w:val="Fontepargpadro"/>
    <w:link w:val="SubtituloProex"/>
    <w:rsid w:val="00762C13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Informaes">
    <w:name w:val="Informações"/>
    <w:basedOn w:val="Normal"/>
    <w:link w:val="InformaesChar"/>
    <w:qFormat/>
    <w:rsid w:val="00762C13"/>
    <w:pPr>
      <w:widowControl/>
      <w:spacing w:after="160" w:line="360" w:lineRule="auto"/>
      <w:jc w:val="right"/>
    </w:pPr>
    <w:rPr>
      <w:rFonts w:eastAsiaTheme="minorHAnsi"/>
      <w:b/>
      <w:bCs/>
      <w:kern w:val="2"/>
      <w:sz w:val="24"/>
      <w:szCs w:val="24"/>
    </w:rPr>
  </w:style>
  <w:style w:type="character" w:customStyle="1" w:styleId="InformaesChar">
    <w:name w:val="Informações Char"/>
    <w:basedOn w:val="Fontepargpadro"/>
    <w:link w:val="Informaes"/>
    <w:rsid w:val="00762C13"/>
    <w:rPr>
      <w:rFonts w:ascii="Arial" w:hAnsi="Arial" w:cs="Arial"/>
      <w:b/>
      <w:bCs/>
      <w:kern w:val="2"/>
      <w:sz w:val="24"/>
      <w:szCs w:val="24"/>
      <w:lang w:val="pt-BR"/>
    </w:rPr>
  </w:style>
  <w:style w:type="paragraph" w:customStyle="1" w:styleId="TituloProex">
    <w:name w:val="Titulo Proex"/>
    <w:link w:val="TituloProexChar"/>
    <w:qFormat/>
    <w:rsid w:val="00762C13"/>
    <w:pPr>
      <w:widowControl/>
      <w:spacing w:before="360" w:after="80" w:line="278" w:lineRule="auto"/>
      <w:jc w:val="center"/>
    </w:pPr>
    <w:rPr>
      <w:b/>
      <w:bCs/>
      <w:kern w:val="2"/>
      <w:sz w:val="24"/>
      <w:szCs w:val="24"/>
    </w:rPr>
  </w:style>
  <w:style w:type="character" w:customStyle="1" w:styleId="TituloProexChar">
    <w:name w:val="Titulo Proex Char"/>
    <w:basedOn w:val="Ttulo1Char"/>
    <w:link w:val="TituloProex"/>
    <w:rsid w:val="00762C13"/>
    <w:rPr>
      <w:rFonts w:ascii="Arial" w:eastAsiaTheme="majorEastAsia" w:hAnsi="Arial" w:cs="Arial"/>
      <w:b/>
      <w:bCs/>
      <w:color w:val="365F91" w:themeColor="accent1" w:themeShade="BF"/>
      <w:kern w:val="2"/>
      <w:sz w:val="24"/>
      <w:szCs w:val="24"/>
      <w:lang w:val="pt-BR"/>
    </w:rPr>
  </w:style>
  <w:style w:type="character" w:customStyle="1" w:styleId="Ttulo1Char">
    <w:name w:val="Título 1 Char"/>
    <w:basedOn w:val="Fontepargpadro"/>
    <w:uiPriority w:val="9"/>
    <w:rsid w:val="00762C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/>
    </w:rPr>
  </w:style>
  <w:style w:type="paragraph" w:styleId="Legenda">
    <w:name w:val="caption"/>
    <w:basedOn w:val="Normal"/>
    <w:next w:val="Normal"/>
    <w:qFormat/>
    <w:rsid w:val="00382672"/>
    <w:pPr>
      <w:widowControl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Hyperlink">
    <w:name w:val="Hyperlink"/>
    <w:semiHidden/>
    <w:rsid w:val="00382672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2672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2672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uiPriority w:val="99"/>
    <w:semiHidden/>
    <w:unhideWhenUsed/>
    <w:rsid w:val="00382672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A12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D15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vista.uemg.br/serv-soc-debate/article/view/5652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pedroejoaoeditores.com.br/produto/contracolonizando-direitos-humanos-infancia-e-juventude-inspiracoes-para-extensao-universitaria-acoes-populares-e-parcerias-sul-sul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g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edroejoaoeditores.com.br/produto/contracolonizando-direitos-humanos-infancia-e-juventude-inspiracoes-para-extensao-universitaria-acoes-populares-e-parcerias-sul-sul/" TargetMode="External"/><Relationship Id="rId1" Type="http://schemas.openxmlformats.org/officeDocument/2006/relationships/hyperlink" Target="https://momaa.org/directory/national-museum-of-slaver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L4NnTmAf2+v+z3Kbh1K3ZzIHYQ==">CgMxLjAyDmguaGlvc2dnYWxsOWkyOAByITFlZXhoRGhWb1N6MUxjZnZWNlZNRXlnN2pQdTB1OXpzZg==</go:docsCustomData>
</go:gDocsCustomXmlDataStorage>
</file>

<file path=customXml/itemProps1.xml><?xml version="1.0" encoding="utf-8"?>
<ds:datastoreItem xmlns:ds="http://schemas.openxmlformats.org/officeDocument/2006/customXml" ds:itemID="{B89F17D5-B2A6-4F1E-B3DE-BDB3B41C02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5089</Words>
  <Characters>28703</Characters>
  <Application>Microsoft Office Word</Application>
  <DocSecurity>0</DocSecurity>
  <Lines>562</Lines>
  <Paragraphs>87</Paragraphs>
  <ScaleCrop>false</ScaleCrop>
  <Company/>
  <LinksUpToDate>false</LinksUpToDate>
  <CharactersWithSpaces>33705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Andrea Pires Rocha</cp:lastModifiedBy>
  <cp:revision>3</cp:revision>
  <dcterms:created xsi:type="dcterms:W3CDTF">2026-04-09T22:58:00Z</dcterms:created>
  <dcterms:modified xsi:type="dcterms:W3CDTF">2026-04-09T22:58:00Z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2023-09-12T00:00:00Z</vt:lpwstr>
  </property>
  <property fmtid="{D5CDD505-2E9C-101B-9397-08002B2CF9AE}" pid="3" name="Creator">
    <vt:lpwstr>Microsoft® Word for Microsoft 365</vt:lpwstr>
  </property>
  <property fmtid="{D5CDD505-2E9C-101B-9397-08002B2CF9AE}" pid="4" name="LastSaved">
    <vt:lpwstr>2023-09-12T00:00:00Z</vt:lpwstr>
  </property>
</Properties>
</file>