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Direitos Humanos, Gênero e Sexualidade</w:t>
      </w:r>
    </w:p>
    <w:p w:rsidR="00000000" w:rsidDel="00000000" w:rsidP="00000000" w:rsidRDefault="00000000" w:rsidRPr="00000000" w14:paraId="00000002">
      <w:pPr>
        <w:widowControl w:val="1"/>
        <w:spacing w:line="360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1"/>
        <w:spacing w:line="240" w:lineRule="auto"/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Psicologia, gênero e sexualidade: práticas extensionistas na  promoção de sexualidade saudável e na prevenção da violência intrafamiliar em acolhimento institucional</w:t>
      </w:r>
    </w:p>
    <w:p w:rsidR="00000000" w:rsidDel="00000000" w:rsidP="00000000" w:rsidRDefault="00000000" w:rsidRPr="00000000" w14:paraId="00000004">
      <w:pPr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ind w:left="1418" w:firstLine="0"/>
        <w:jc w:val="righ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Maria Eduarda Semcovici Nozi</w:t>
      </w:r>
      <w:r w:rsidDel="00000000" w:rsidR="00000000" w:rsidRPr="00000000">
        <w:rPr>
          <w:sz w:val="24"/>
          <w:szCs w:val="24"/>
          <w:vertAlign w:val="superscript"/>
        </w:rPr>
        <w:footnoteReference w:customMarkFollows="0" w:id="0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ind w:left="1418" w:firstLine="0"/>
        <w:jc w:val="right"/>
        <w:rPr>
          <w:sz w:val="24"/>
          <w:szCs w:val="24"/>
          <w:vertAlign w:val="superscript"/>
        </w:rPr>
      </w:pPr>
      <w:r w:rsidDel="00000000" w:rsidR="00000000" w:rsidRPr="00000000">
        <w:rPr>
          <w:sz w:val="24"/>
          <w:szCs w:val="24"/>
          <w:rtl w:val="0"/>
        </w:rPr>
        <w:t xml:space="preserve"> Stefany Lorraine Dias da Silva</w:t>
      </w:r>
      <w:r w:rsidDel="00000000" w:rsidR="00000000" w:rsidRPr="00000000">
        <w:rPr>
          <w:sz w:val="24"/>
          <w:szCs w:val="24"/>
          <w:vertAlign w:val="superscript"/>
        </w:rPr>
        <w:footnoteReference w:customMarkFollows="0" w:id="1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righ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Yasmin Jovial Fascina³</w:t>
      </w:r>
    </w:p>
    <w:p w:rsidR="00000000" w:rsidDel="00000000" w:rsidP="00000000" w:rsidRDefault="00000000" w:rsidRPr="00000000" w14:paraId="00000009">
      <w:pPr>
        <w:jc w:val="righ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Alex Eduardo Gallo⁴</w:t>
      </w:r>
    </w:p>
    <w:p w:rsidR="00000000" w:rsidDel="00000000" w:rsidP="00000000" w:rsidRDefault="00000000" w:rsidRPr="00000000" w14:paraId="0000000A">
      <w:pPr>
        <w:tabs>
          <w:tab w:val="left" w:leader="none" w:pos="1418"/>
        </w:tabs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tabs>
          <w:tab w:val="left" w:leader="none" w:pos="1418"/>
        </w:tabs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36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1 INTRODUÇÃO</w:t>
      </w:r>
    </w:p>
    <w:p w:rsidR="00000000" w:rsidDel="00000000" w:rsidP="00000000" w:rsidRDefault="00000000" w:rsidRPr="00000000" w14:paraId="0000000D">
      <w:pPr>
        <w:spacing w:line="36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ab/>
        <w:t xml:space="preserve">Segundo o Sistema Nacional de Adoção e Acolhimento, disponível no portal do Conselho Nacional de Justiça (CNJ),  atualmente, no Brasil, se encontram 36.090 crianças e adolescentes acolhidos institucionalmente, sendo mais de 50% destes sujeitos pertencentes ao sexo feminino. </w:t>
      </w:r>
    </w:p>
    <w:p w:rsidR="00000000" w:rsidDel="00000000" w:rsidP="00000000" w:rsidRDefault="00000000" w:rsidRPr="00000000" w14:paraId="0000000F">
      <w:pPr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ab/>
        <w:t xml:space="preserve">Segundo informações do Fórum de Segurança Pública e da 17ª edição do Anuário Brasileiro de Segurança Pública, a violência sexual, principalmente ocorrida em âmbito intrafamiliar, é um dos principais motivos que levam a institucionalização de crianças e adolescentes no país, sobretudo quando destacamos aquelas pertencentes ao gênero feminino.</w:t>
      </w:r>
    </w:p>
    <w:p w:rsidR="00000000" w:rsidDel="00000000" w:rsidP="00000000" w:rsidRDefault="00000000" w:rsidRPr="00000000" w14:paraId="00000010">
      <w:pPr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ab/>
        <w:t xml:space="preserve">Sob esse prisma, o projeto "Desenvolvimento de estratégias para redução e prevenção de violência intrafamiliar junto a usuários do núcleo de apoio especializado do Tribunal de Justiça do Paraná”, realizado por discentes e docentes do curso de psicologia da Universidade Estadual de Londrina (UEL) em parceria com a comarca de Londrina do Tribunal de Justiça do Paraná (TJPR), entendeu como necessária a realização de práticas que abordassem a temática da sexualidade e da violência em adolescentes do sexo feminino que se encontram institucionalizadas, já que essas duas temáticas são de extrema importância e recorrência na vida dessas jovens e que afetam, inevitavelmente, seu percurso dentro e fora dessas instituições (CARINHANHA; PENHA, 2012). </w:t>
      </w:r>
    </w:p>
    <w:p w:rsidR="00000000" w:rsidDel="00000000" w:rsidP="00000000" w:rsidRDefault="00000000" w:rsidRPr="00000000" w14:paraId="00000011">
      <w:pPr>
        <w:spacing w:line="36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36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2 DESENVOLVIMENTO</w:t>
      </w:r>
    </w:p>
    <w:p w:rsidR="00000000" w:rsidDel="00000000" w:rsidP="00000000" w:rsidRDefault="00000000" w:rsidRPr="00000000" w14:paraId="00000013">
      <w:pPr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2.1 Metodologia </w:t>
      </w:r>
    </w:p>
    <w:p w:rsidR="00000000" w:rsidDel="00000000" w:rsidP="00000000" w:rsidRDefault="00000000" w:rsidRPr="00000000" w14:paraId="00000015">
      <w:pPr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widowControl w:val="1"/>
        <w:spacing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 metodologia utilizada no projeto "Desenvolvimento de estratégias para redução e prevenção de violência intrafamiliar junto a usuários do núcleo de apoio especializado do Tribunal de Justiça do Paraná” foi elaborada de maneira gradual, integrando elementos essenciais para uma prática extensionista crítica e ética junto às adolescentes acolhidas. O público-alvo dessa ação foi composto por 9 adolescentes, com idades entre 9 e 16 anos, em situação de vulnerabilidade social e acolhidas, por medida judicial, em instituições de proteção localizadas no município de Londrina. </w:t>
      </w:r>
    </w:p>
    <w:p w:rsidR="00000000" w:rsidDel="00000000" w:rsidP="00000000" w:rsidRDefault="00000000" w:rsidRPr="00000000" w14:paraId="00000017">
      <w:pPr>
        <w:widowControl w:val="1"/>
        <w:spacing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Os encontros foram realizados na Universidade Estadual de Londrina (UEL), no Centro de Ciências Biológicas (CCB). O espaço foi previamente organizado para proporcionar um ambiente acolhedor e seguro, favorecendo a participação das adolescentes de maneira confortável. Após o estabelecimento de contato com o Fórum de Justiça, foram planejados encontros com diferentes temáticas passíveis de discussão.</w:t>
      </w:r>
    </w:p>
    <w:p w:rsidR="00000000" w:rsidDel="00000000" w:rsidP="00000000" w:rsidRDefault="00000000" w:rsidRPr="00000000" w14:paraId="00000018">
      <w:pPr>
        <w:widowControl w:val="1"/>
        <w:spacing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Um dos encontros do projeto abordou a temática de sexualidade saudável e prevenção de diferentes tipos de violência, criando e promovendo um espaço de troca e diálogo com as adolescentes. A preparação desse encontro envolveu a pesquisa e leitura de materiais de referência para preparar atividades que abordassem esses temas de maneira dinâmica. As atividades foram desenvolvidas em formato de roda de conversa, o que favoreceu o fortalecimento de vínculos e promoveu uma participação mais ativa por parte das adolescentes, que não apenas ouviam, mas também compartilhavam suas dúvidas, histórias e conhecimentos acerca das temáticas trabalhadas durante todo o processo. A interdisciplinaridade e a interprofissionalidade se mostram ativas e presentes nesse processo na atuação dos estudantes da graduação em psicologia juntamente ao Fórum de Justiça do Paraná, possibilitando a integração de diferentes perspectivas e formas de enfrentamento.</w:t>
      </w:r>
    </w:p>
    <w:p w:rsidR="00000000" w:rsidDel="00000000" w:rsidP="00000000" w:rsidRDefault="00000000" w:rsidRPr="00000000" w14:paraId="00000019">
      <w:pPr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2.2 Descrição das atividades</w:t>
      </w:r>
    </w:p>
    <w:p w:rsidR="00000000" w:rsidDel="00000000" w:rsidP="00000000" w:rsidRDefault="00000000" w:rsidRPr="00000000" w14:paraId="0000001B">
      <w:pPr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widowControl w:val="1"/>
        <w:spacing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Foram desenvolvidas duas dinâmicas de acordo com as temáticas previstas no encontro. A primeira atividade, denominada de “Mitos e verdades”, trouxe afirmações sobre infecções sexualmente transmissíveis (ISTs), sexo, gravidez, higiene intima, abordando a sexualidade de forma mais ampla. Foi formada uma roda, na qual tanto as adolescentes quanto as estudantes de graduação retiravam um papel, liam a frase em voz alta para o grupo, e indicavam se se tratava de uma verdade ou de um mito, justificando suas respostas. Essa dinâmica promoveu a desconstrução de crenças equivocadas e a ampliação do conhecimento de forma participativa.</w:t>
      </w:r>
    </w:p>
    <w:p w:rsidR="00000000" w:rsidDel="00000000" w:rsidP="00000000" w:rsidRDefault="00000000" w:rsidRPr="00000000" w14:paraId="0000001D">
      <w:pPr>
        <w:widowControl w:val="1"/>
        <w:spacing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 segunda dinâmica elaborada foi “Se fosse com você, o que faria?”, em que situações hipotéticas relacionadas a diferentes tipos de violência foram criadas, apresentadas e debatidas em grupo. A atividade possibilitou que tanto as adolescentes quanto as alunas refletissem e elaborassem sobre possíveis estratégias de enfrentamento à violência e para a percepção de que a responsabilidade pela violência não recai sobre a vítima, mas sobre o agressor.</w:t>
      </w:r>
    </w:p>
    <w:p w:rsidR="00000000" w:rsidDel="00000000" w:rsidP="00000000" w:rsidRDefault="00000000" w:rsidRPr="00000000" w14:paraId="0000001E">
      <w:pPr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2.3 Resultados e discussões</w:t>
      </w:r>
    </w:p>
    <w:p w:rsidR="00000000" w:rsidDel="00000000" w:rsidP="00000000" w:rsidRDefault="00000000" w:rsidRPr="00000000" w14:paraId="00000020">
      <w:pPr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Os resultados evidenciam uma ampliação significativa do conhecimento das adolescentes acerca de temas relacionados à sexualidade, infecções sexualmente transmissíveis, prevenção da gravidez e autocuidado, abordados a partir de uma perspectiva alinhada aos direitos humanos e à promoção da saúde. As dinâmicas propostas favoreceram a desconstrução de mitos e crenças equivocadas, possibilitando a construção coletiva de saberes em um ambiente acolhedor e participativo.</w:t>
      </w:r>
    </w:p>
    <w:p w:rsidR="00000000" w:rsidDel="00000000" w:rsidP="00000000" w:rsidRDefault="00000000" w:rsidRPr="00000000" w14:paraId="00000022">
      <w:pPr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Nesse processo, as participantes passaram a refletir criticamente sobre seus corpos, suas vivências e os atravessamentos de gênero presentes em suas experiências, demonstrando não apenas a aquisição de conhecimentos, mas também o desenvolvimento de consciência crítica.</w:t>
      </w:r>
    </w:p>
    <w:p w:rsidR="00000000" w:rsidDel="00000000" w:rsidP="00000000" w:rsidRDefault="00000000" w:rsidRPr="00000000" w14:paraId="00000023">
      <w:pPr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Observou-se ainda o fortalecimento das redes de apoio e o desenvolvimento de estratégias de enfrentamento frente a situações de violência. A discussão de situações hipotéticas contribuiu para que as adolescentes reconhecessem seus direitos e identificassem possibilidades de ação diante de contextos de risco, compreendendo a violência como uma violação de direitos, e não como responsabilidade da vítima. Esse achado evidencia a relevância de práticas educativas que integrem gênero e sexualidade como dimensões centrais na prevenção da violência e na promoção da autonomia.</w:t>
      </w:r>
    </w:p>
    <w:p w:rsidR="00000000" w:rsidDel="00000000" w:rsidP="00000000" w:rsidRDefault="00000000" w:rsidRPr="00000000" w14:paraId="00000024">
      <w:pPr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Ademais, a experiência impactou a formação dos estudantes envolvidos, ao possibilitar a articulação entre teoria e prática sob uma perspectiva crítica e comprometida com a transformação social. A abordagem interdisciplinar contribuiu para uma compreensão ampliada das desigualdades sociais, de gênero e das situações de vulnerabilidade vivenciadas pelas adolescentes institucionalizadas.</w:t>
      </w:r>
    </w:p>
    <w:p w:rsidR="00000000" w:rsidDel="00000000" w:rsidP="00000000" w:rsidRDefault="00000000" w:rsidRPr="00000000" w14:paraId="00000025">
      <w:pPr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line="36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3 CONSIDERAÇÕES FINAIS </w:t>
      </w:r>
    </w:p>
    <w:p w:rsidR="00000000" w:rsidDel="00000000" w:rsidP="00000000" w:rsidRDefault="00000000" w:rsidRPr="00000000" w14:paraId="00000027">
      <w:pPr>
        <w:spacing w:line="36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Os resultados indicam que ações extensionistas fundamentadas nos direitos humanos promovem não apenas a ampliação de conhecimentos, mas também o fortalecimento de sujeitos capazes de reconhecer e reivindicar seus direitos em diferentes contextos sociais.</w:t>
      </w:r>
    </w:p>
    <w:p w:rsidR="00000000" w:rsidDel="00000000" w:rsidP="00000000" w:rsidRDefault="00000000" w:rsidRPr="00000000" w14:paraId="00000029">
      <w:pPr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Como desdobramentos futuros, destaca-se a importância de dar continuidade e ampliar a ação desenvolvida, por meio da realização de novos encontros e da incorporação de outras temáticas relevantes ao desenvolvimento integral das adolescentes, com ênfase na promoção e garantia dos direitos humanos e na redução da violência de gênero. Ressalta-se também a necessidade de fortalecimento da articulação com o Tribunal de Justiça e demais instituições de acolhimento, visando ampliar o alcance e a efetividade das intervenções. </w:t>
      </w:r>
    </w:p>
    <w:p w:rsidR="00000000" w:rsidDel="00000000" w:rsidP="00000000" w:rsidRDefault="00000000" w:rsidRPr="00000000" w14:paraId="0000002A">
      <w:pPr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lin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4 REFERÊNCIAS </w:t>
      </w:r>
    </w:p>
    <w:p w:rsidR="00000000" w:rsidDel="00000000" w:rsidP="00000000" w:rsidRDefault="00000000" w:rsidRPr="00000000" w14:paraId="0000002D">
      <w:pPr>
        <w:spacing w:lin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lin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CARINHANHA, Joana Iabrudi; PENNA, Lucia Helena Garcia.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Violência vivenciada pelas adolescentes acolhidas em instituição de abrigamento</w:t>
      </w:r>
      <w:r w:rsidDel="00000000" w:rsidR="00000000" w:rsidRPr="00000000">
        <w:rPr>
          <w:sz w:val="24"/>
          <w:szCs w:val="24"/>
          <w:rtl w:val="0"/>
        </w:rPr>
        <w:t xml:space="preserve">. Texto &amp; contexto enfermagem, v. 21, n. 1, p. 68–76, 2012.</w:t>
      </w:r>
    </w:p>
    <w:p w:rsidR="00000000" w:rsidDel="00000000" w:rsidP="00000000" w:rsidRDefault="00000000" w:rsidRPr="00000000" w14:paraId="00000030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CONSELHO NACIONAL DE JUSTIÇA.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Sistema Nacional de Adoção e Acolhimento: Painel de Acompanhamento</w:t>
      </w:r>
      <w:r w:rsidDel="00000000" w:rsidR="00000000" w:rsidRPr="00000000">
        <w:rPr>
          <w:sz w:val="24"/>
          <w:szCs w:val="24"/>
          <w:rtl w:val="0"/>
        </w:rPr>
        <w:t xml:space="preserve">. Disponível em:</w:t>
      </w:r>
    </w:p>
    <w:p w:rsidR="00000000" w:rsidDel="00000000" w:rsidP="00000000" w:rsidRDefault="00000000" w:rsidRPr="00000000" w14:paraId="00000032">
      <w:pPr>
        <w:rPr>
          <w:sz w:val="24"/>
          <w:szCs w:val="24"/>
        </w:rPr>
      </w:pPr>
      <w:hyperlink r:id="rId7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https://paineisanalytics.cnj.jus.br/single/?appid=ccd72056-8999-4434-b913-f74b5b5b31a2&amp;sheet=4f1d9435-00b1-4c8c-beb7-8ed9dba4e45a&amp;opt=currsel&amp;select=clearall</w:t>
        </w:r>
      </w:hyperlink>
      <w:r w:rsidDel="00000000" w:rsidR="00000000" w:rsidRPr="00000000">
        <w:rPr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33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FÓRUM BRASILEIRO DE SEGURANÇA PÚBLICA.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17o Anuário Brasileiro de Segurança Pública</w:t>
      </w:r>
      <w:r w:rsidDel="00000000" w:rsidR="00000000" w:rsidRPr="00000000">
        <w:rPr>
          <w:sz w:val="24"/>
          <w:szCs w:val="24"/>
          <w:rtl w:val="0"/>
        </w:rPr>
        <w:t xml:space="preserve">, 2023. Disponível em:</w:t>
      </w:r>
    </w:p>
    <w:p w:rsidR="00000000" w:rsidDel="00000000" w:rsidP="00000000" w:rsidRDefault="00000000" w:rsidRPr="00000000" w14:paraId="00000035">
      <w:pPr>
        <w:rPr>
          <w:sz w:val="24"/>
          <w:szCs w:val="24"/>
        </w:rPr>
      </w:pPr>
      <w:hyperlink r:id="rId8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https://publicacoes.forumseguranca.org.br/server/api/core/bitstreams/d7cc2704-e5fd-4a71-a268-b2bcf521e8fc/content</w:t>
        </w:r>
      </w:hyperlink>
      <w:r w:rsidDel="00000000" w:rsidR="00000000" w:rsidRPr="00000000">
        <w:rPr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36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9" w:type="default"/>
      <w:footerReference r:id="rId10" w:type="default"/>
      <w:pgSz w:h="16840" w:w="11910" w:orient="portrait"/>
      <w:pgMar w:bottom="278" w:top="391" w:left="1599" w:right="1298" w:header="159" w:footer="39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mbria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2">
    <w:pPr>
      <w:spacing w:line="183" w:lineRule="auto"/>
      <w:ind w:left="172" w:right="179" w:firstLine="0"/>
      <w:jc w:val="center"/>
      <w:rPr>
        <w:sz w:val="16"/>
        <w:szCs w:val="1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3">
    <w:pPr>
      <w:spacing w:before="96" w:line="183" w:lineRule="auto"/>
      <w:ind w:left="172" w:right="471" w:firstLine="0"/>
      <w:jc w:val="center"/>
      <w:rPr>
        <w:sz w:val="16"/>
        <w:szCs w:val="16"/>
      </w:rPr>
    </w:pPr>
    <w:r w:rsidDel="00000000" w:rsidR="00000000" w:rsidRPr="00000000">
      <w:rPr>
        <w:sz w:val="16"/>
        <w:szCs w:val="16"/>
        <w:rtl w:val="0"/>
      </w:rPr>
      <w:t xml:space="preserve">Anais do II Simpósio Internacional Práxis Itinerante: Juventudes e Direitos Humanos</w:t>
    </w:r>
  </w:p>
  <w:p w:rsidR="00000000" w:rsidDel="00000000" w:rsidP="00000000" w:rsidRDefault="00000000" w:rsidRPr="00000000" w14:paraId="00000044">
    <w:pPr>
      <w:spacing w:line="183" w:lineRule="auto"/>
      <w:ind w:left="172" w:right="179" w:firstLine="0"/>
      <w:jc w:val="center"/>
      <w:rPr>
        <w:b w:val="1"/>
        <w:bCs w:val="1"/>
        <w:sz w:val="16"/>
        <w:szCs w:val="16"/>
      </w:rPr>
    </w:pPr>
    <w:r w:rsidDel="00000000" w:rsidR="00000000" w:rsidRPr="00000000">
      <w:rPr>
        <w:sz w:val="16"/>
        <w:szCs w:val="16"/>
        <w:rtl w:val="0"/>
      </w:rPr>
      <w:t xml:space="preserve">13 a 15 de abril de 2026, UEL – Paraná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before="7" w:lineRule="auto"/>
      <w:rPr>
        <w:color w:val="000000"/>
        <w:sz w:val="15"/>
        <w:szCs w:val="15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3628720</wp:posOffset>
          </wp:positionH>
          <wp:positionV relativeFrom="paragraph">
            <wp:posOffset>138430</wp:posOffset>
          </wp:positionV>
          <wp:extent cx="1223010" cy="528320"/>
          <wp:effectExtent b="0" l="0" r="0" t="0"/>
          <wp:wrapNone/>
          <wp:docPr descr="Uma imagem contendo placa, desenho, perto, rua&#10;&#10;Descrição gerada automaticamente" id="6" name="image1.png"/>
          <a:graphic>
            <a:graphicData uri="http://schemas.openxmlformats.org/drawingml/2006/picture">
              <pic:pic>
                <pic:nvPicPr>
                  <pic:cNvPr descr="Uma imagem contendo placa, desenho, perto, rua&#10;&#10;Descrição gerada automaticamente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223010" cy="52832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-94585</wp:posOffset>
          </wp:positionH>
          <wp:positionV relativeFrom="paragraph">
            <wp:posOffset>150419</wp:posOffset>
          </wp:positionV>
          <wp:extent cx="1243330" cy="537210"/>
          <wp:effectExtent b="0" l="0" r="0" t="0"/>
          <wp:wrapTopAndBottom distB="0" distT="0"/>
          <wp:docPr id="5" name="image4.jpg"/>
          <a:graphic>
            <a:graphicData uri="http://schemas.openxmlformats.org/drawingml/2006/picture">
              <pic:pic>
                <pic:nvPicPr>
                  <pic:cNvPr id="0" name="image4.jp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243330" cy="53721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1319860</wp:posOffset>
          </wp:positionH>
          <wp:positionV relativeFrom="paragraph">
            <wp:posOffset>108585</wp:posOffset>
          </wp:positionV>
          <wp:extent cx="824865" cy="568960"/>
          <wp:effectExtent b="0" l="0" r="0" t="0"/>
          <wp:wrapNone/>
          <wp:docPr id="2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3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24865" cy="56896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2391740</wp:posOffset>
          </wp:positionH>
          <wp:positionV relativeFrom="paragraph">
            <wp:posOffset>85090</wp:posOffset>
          </wp:positionV>
          <wp:extent cx="982345" cy="629920"/>
          <wp:effectExtent b="0" l="0" r="0" t="0"/>
          <wp:wrapNone/>
          <wp:docPr id="1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4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982345" cy="62992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5063490</wp:posOffset>
          </wp:positionH>
          <wp:positionV relativeFrom="paragraph">
            <wp:posOffset>71343</wp:posOffset>
          </wp:positionV>
          <wp:extent cx="692785" cy="692785"/>
          <wp:effectExtent b="0" l="0" r="0" t="0"/>
          <wp:wrapNone/>
          <wp:docPr id="3" name="image5.png"/>
          <a:graphic>
            <a:graphicData uri="http://schemas.openxmlformats.org/drawingml/2006/picture">
              <pic:pic>
                <pic:nvPicPr>
                  <pic:cNvPr id="0" name="image5.png"/>
                  <pic:cNvPicPr preferRelativeResize="0"/>
                </pic:nvPicPr>
                <pic:blipFill>
                  <a:blip r:embed="rId5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92785" cy="69278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4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rPr>
        <w:color w:val="000000"/>
      </w:rPr>
    </w:pPr>
    <w:r w:rsidDel="00000000" w:rsidR="00000000" w:rsidRPr="00000000">
      <w:rPr>
        <w:rtl w:val="0"/>
      </w:rPr>
    </w:r>
  </w:p>
</w:ftr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otnote w:id="0">
    <w:p w:rsidR="00000000" w:rsidDel="00000000" w:rsidP="00000000" w:rsidRDefault="00000000" w:rsidRPr="00000000" w14:paraId="00000038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color w:val="000000"/>
          <w:sz w:val="20"/>
          <w:szCs w:val="20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color w:val="000000"/>
          <w:sz w:val="20"/>
          <w:szCs w:val="20"/>
          <w:rtl w:val="0"/>
        </w:rPr>
        <w:t xml:space="preserve"> </w:t>
      </w:r>
      <w:r w:rsidDel="00000000" w:rsidR="00000000" w:rsidRPr="00000000">
        <w:rPr>
          <w:sz w:val="20"/>
          <w:szCs w:val="20"/>
          <w:rtl w:val="0"/>
        </w:rPr>
        <w:t xml:space="preserve">Graduanda em Psicologia, Universidade Estadual de Londrina (UEL), E-mail: mariaseduarda@uel.br.</w:t>
      </w:r>
      <w:r w:rsidDel="00000000" w:rsidR="00000000" w:rsidRPr="00000000">
        <w:rPr>
          <w:rtl w:val="0"/>
        </w:rPr>
      </w:r>
    </w:p>
  </w:footnote>
  <w:footnote w:id="1">
    <w:p w:rsidR="00000000" w:rsidDel="00000000" w:rsidP="00000000" w:rsidRDefault="00000000" w:rsidRPr="00000000" w14:paraId="00000039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sz w:val="20"/>
          <w:szCs w:val="20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color w:val="000000"/>
          <w:sz w:val="20"/>
          <w:szCs w:val="20"/>
          <w:rtl w:val="0"/>
        </w:rPr>
        <w:t xml:space="preserve"> </w:t>
      </w:r>
      <w:r w:rsidDel="00000000" w:rsidR="00000000" w:rsidRPr="00000000">
        <w:rPr>
          <w:sz w:val="20"/>
          <w:szCs w:val="20"/>
          <w:rtl w:val="0"/>
        </w:rPr>
        <w:t xml:space="preserve">Graduanda em Psicologia, Universidade Estadual de Londrina (UEL), E-mail: stefany.lorraine@uel.br.</w:t>
      </w:r>
    </w:p>
    <w:p w:rsidR="00000000" w:rsidDel="00000000" w:rsidP="00000000" w:rsidRDefault="00000000" w:rsidRPr="00000000" w14:paraId="0000003A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³ Graduanda</w:t>
      </w:r>
      <w:r w:rsidDel="00000000" w:rsidR="00000000" w:rsidRPr="00000000">
        <w:rPr>
          <w:sz w:val="20"/>
          <w:szCs w:val="20"/>
          <w:rtl w:val="0"/>
        </w:rPr>
        <w:t xml:space="preserve"> em Psicologia, Universidade Estadual de Londrina (UEL), E-mail: yasmin.jovial.fascina@uel.br.</w:t>
      </w:r>
    </w:p>
    <w:p w:rsidR="00000000" w:rsidDel="00000000" w:rsidP="00000000" w:rsidRDefault="00000000" w:rsidRPr="00000000" w14:paraId="0000003B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⁴ Docente em Psicologia, Universidade Estadual de Londrina (UEL), E-mail: aedgallo@uel.br.</w:t>
      </w:r>
    </w:p>
    <w:p w:rsidR="00000000" w:rsidDel="00000000" w:rsidP="00000000" w:rsidRDefault="00000000" w:rsidRPr="00000000" w14:paraId="0000003C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</w:footnote>
</w:footnote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jc w:val="center"/>
      <w:rPr>
        <w:color w:val="000000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2305050</wp:posOffset>
          </wp:positionH>
          <wp:positionV relativeFrom="paragraph">
            <wp:posOffset>13337</wp:posOffset>
          </wp:positionV>
          <wp:extent cx="1259174" cy="533400"/>
          <wp:effectExtent b="0" l="0" r="0" t="0"/>
          <wp:wrapSquare wrapText="bothSides" distB="114300" distT="114300" distL="114300" distR="114300"/>
          <wp:docPr id="4" name="image6.png"/>
          <a:graphic>
            <a:graphicData uri="http://schemas.openxmlformats.org/drawingml/2006/picture">
              <pic:pic>
                <pic:nvPicPr>
                  <pic:cNvPr id="0" name="image6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259174" cy="53340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3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rPr>
        <w:color w:val="00000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rPr>
        <w:color w:val="00000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rPr>
        <w:color w:val="00000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PT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before="240" w:lineRule="auto"/>
    </w:pPr>
    <w:rPr>
      <w:rFonts w:ascii="Cambria" w:cs="Cambria" w:eastAsia="Cambria" w:hAnsi="Cambria"/>
      <w:color w:val="366091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spacing w:before="49" w:lineRule="auto"/>
      <w:ind w:left="172" w:right="182"/>
      <w:jc w:val="center"/>
    </w:pPr>
    <w:rPr>
      <w:b w:val="1"/>
      <w:bCs w:val="1"/>
      <w:sz w:val="28"/>
      <w:szCs w:val="2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10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hyperlink" Target="https://paineisanalytics.cnj.jus.br/single/?appid=ccd72056-8999-4434-b913-f74b5b5b31a2&amp;sheet=4f1d9435-00b1-4c8c-beb7-8ed9dba4e45a&amp;opt=currsel&amp;select=clearall" TargetMode="External"/><Relationship Id="rId8" Type="http://schemas.openxmlformats.org/officeDocument/2006/relationships/hyperlink" Target="https://publicacoes.forumseguranca.org.br/server/api/core/bitstreams/d7cc2704-e5fd-4a71-a268-b2bcf521e8fc/content" TargetMode="Externa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4.jp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5" Type="http://schemas.openxmlformats.org/officeDocument/2006/relationships/image" Target="media/image5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2023-09-12T00:00:00Z</vt:lpwstr>
  </property>
  <property fmtid="{D5CDD505-2E9C-101B-9397-08002B2CF9AE}" pid="3" name="Creator">
    <vt:lpwstr>Microsoft® Word for Microsoft 365</vt:lpwstr>
  </property>
  <property fmtid="{D5CDD505-2E9C-101B-9397-08002B2CF9AE}" pid="4" name="LastSaved">
    <vt:lpwstr>2023-09-12T00:00:00Z</vt:lpwstr>
  </property>
</Properties>
</file>