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A3FA9" w14:textId="77777777" w:rsidR="009C3E7D" w:rsidRDefault="009C3E7D">
      <w:pPr>
        <w:jc w:val="center"/>
        <w:rPr>
          <w:b/>
          <w:bCs/>
          <w:sz w:val="24"/>
          <w:szCs w:val="24"/>
        </w:rPr>
      </w:pPr>
    </w:p>
    <w:p w14:paraId="71C8DC61" w14:textId="77777777" w:rsidR="009C3E7D" w:rsidRDefault="009C3E7D">
      <w:pPr>
        <w:jc w:val="center"/>
        <w:rPr>
          <w:b/>
          <w:bCs/>
          <w:sz w:val="24"/>
          <w:szCs w:val="24"/>
        </w:rPr>
      </w:pPr>
    </w:p>
    <w:p w14:paraId="501C5BCB" w14:textId="29661832" w:rsidR="009C3E7D" w:rsidRDefault="00362C1C" w:rsidP="00362C1C">
      <w:pPr>
        <w:spacing w:line="360" w:lineRule="auto"/>
        <w:jc w:val="center"/>
        <w:rPr>
          <w:b/>
          <w:bCs/>
          <w:sz w:val="24"/>
          <w:szCs w:val="24"/>
        </w:rPr>
      </w:pPr>
      <w:r w:rsidRPr="00362C1C">
        <w:rPr>
          <w:b/>
          <w:bCs/>
          <w:sz w:val="24"/>
          <w:szCs w:val="24"/>
        </w:rPr>
        <w:t>Direitos Humanos, Gênero, Sexualidade</w:t>
      </w:r>
    </w:p>
    <w:p w14:paraId="2A653E93" w14:textId="77777777" w:rsidR="009C3E7D" w:rsidRDefault="009C3E7D">
      <w:pPr>
        <w:rPr>
          <w:sz w:val="24"/>
          <w:szCs w:val="24"/>
        </w:rPr>
      </w:pPr>
    </w:p>
    <w:p w14:paraId="6C775DB2" w14:textId="7D07F4D6" w:rsidR="009C3E7D" w:rsidRPr="00200E88" w:rsidRDefault="00200E88">
      <w:pPr>
        <w:jc w:val="center"/>
        <w:rPr>
          <w:sz w:val="28"/>
          <w:szCs w:val="28"/>
        </w:rPr>
      </w:pPr>
      <w:r w:rsidRPr="00200E88">
        <w:rPr>
          <w:b/>
          <w:bCs/>
          <w:sz w:val="28"/>
          <w:szCs w:val="28"/>
        </w:rPr>
        <w:t xml:space="preserve">A </w:t>
      </w:r>
      <w:r>
        <w:rPr>
          <w:b/>
          <w:bCs/>
          <w:sz w:val="28"/>
          <w:szCs w:val="28"/>
        </w:rPr>
        <w:t>b</w:t>
      </w:r>
      <w:r w:rsidRPr="00200E88">
        <w:rPr>
          <w:b/>
          <w:bCs/>
          <w:sz w:val="28"/>
          <w:szCs w:val="28"/>
        </w:rPr>
        <w:t>iopolítica da "</w:t>
      </w:r>
      <w:r>
        <w:rPr>
          <w:b/>
          <w:bCs/>
          <w:sz w:val="28"/>
          <w:szCs w:val="28"/>
        </w:rPr>
        <w:t>p</w:t>
      </w:r>
      <w:r w:rsidRPr="00200E88">
        <w:rPr>
          <w:b/>
          <w:bCs/>
          <w:sz w:val="28"/>
          <w:szCs w:val="28"/>
        </w:rPr>
        <w:t xml:space="preserve">roteção": </w:t>
      </w:r>
      <w:r>
        <w:rPr>
          <w:b/>
          <w:bCs/>
          <w:sz w:val="28"/>
          <w:szCs w:val="28"/>
        </w:rPr>
        <w:t>c</w:t>
      </w:r>
      <w:r w:rsidRPr="00200E88">
        <w:rPr>
          <w:b/>
          <w:bCs/>
          <w:sz w:val="28"/>
          <w:szCs w:val="28"/>
        </w:rPr>
        <w:t xml:space="preserve">is-separatismo, </w:t>
      </w:r>
      <w:r>
        <w:rPr>
          <w:b/>
          <w:bCs/>
          <w:sz w:val="28"/>
          <w:szCs w:val="28"/>
        </w:rPr>
        <w:t>p</w:t>
      </w:r>
      <w:r w:rsidRPr="00200E88">
        <w:rPr>
          <w:b/>
          <w:bCs/>
          <w:sz w:val="28"/>
          <w:szCs w:val="28"/>
        </w:rPr>
        <w:t xml:space="preserve">ânico </w:t>
      </w:r>
      <w:r>
        <w:rPr>
          <w:b/>
          <w:bCs/>
          <w:sz w:val="28"/>
          <w:szCs w:val="28"/>
        </w:rPr>
        <w:t>m</w:t>
      </w:r>
      <w:r w:rsidRPr="00200E88">
        <w:rPr>
          <w:b/>
          <w:bCs/>
          <w:sz w:val="28"/>
          <w:szCs w:val="28"/>
        </w:rPr>
        <w:t xml:space="preserve">oral e as </w:t>
      </w:r>
      <w:r>
        <w:rPr>
          <w:b/>
          <w:bCs/>
          <w:sz w:val="28"/>
          <w:szCs w:val="28"/>
        </w:rPr>
        <w:t>c</w:t>
      </w:r>
      <w:r w:rsidRPr="00200E88">
        <w:rPr>
          <w:b/>
          <w:bCs/>
          <w:sz w:val="28"/>
          <w:szCs w:val="28"/>
        </w:rPr>
        <w:t xml:space="preserve">onvergências </w:t>
      </w:r>
      <w:r>
        <w:rPr>
          <w:b/>
          <w:bCs/>
          <w:sz w:val="28"/>
          <w:szCs w:val="28"/>
        </w:rPr>
        <w:t>n</w:t>
      </w:r>
      <w:r w:rsidRPr="00200E88">
        <w:rPr>
          <w:b/>
          <w:bCs/>
          <w:sz w:val="28"/>
          <w:szCs w:val="28"/>
        </w:rPr>
        <w:t>eoconservadoras</w:t>
      </w:r>
      <w:r w:rsidR="00546FD4">
        <w:rPr>
          <w:rStyle w:val="Refdenotaderodap"/>
          <w:b/>
          <w:bCs/>
          <w:sz w:val="28"/>
          <w:szCs w:val="28"/>
        </w:rPr>
        <w:footnoteReference w:id="1"/>
      </w:r>
    </w:p>
    <w:p w14:paraId="3A526994" w14:textId="77777777" w:rsidR="009C3E7D" w:rsidRDefault="009C3E7D">
      <w:pPr>
        <w:jc w:val="center"/>
        <w:rPr>
          <w:sz w:val="24"/>
          <w:szCs w:val="24"/>
        </w:rPr>
      </w:pPr>
    </w:p>
    <w:p w14:paraId="06A92C9C" w14:textId="678D08C5" w:rsidR="009C3E7D" w:rsidRDefault="00362C1C">
      <w:pPr>
        <w:ind w:left="1418"/>
        <w:jc w:val="right"/>
        <w:rPr>
          <w:sz w:val="24"/>
          <w:szCs w:val="24"/>
        </w:rPr>
      </w:pPr>
      <w:r>
        <w:rPr>
          <w:sz w:val="24"/>
          <w:szCs w:val="24"/>
        </w:rPr>
        <w:t>Marcos Alexandre Sales</w:t>
      </w:r>
      <w:r>
        <w:rPr>
          <w:sz w:val="24"/>
          <w:szCs w:val="24"/>
          <w:vertAlign w:val="superscript"/>
        </w:rPr>
        <w:footnoteReference w:id="2"/>
      </w:r>
    </w:p>
    <w:p w14:paraId="453C0193" w14:textId="77777777" w:rsidR="009C3E7D" w:rsidRDefault="009C3E7D">
      <w:pPr>
        <w:jc w:val="center"/>
        <w:rPr>
          <w:sz w:val="24"/>
          <w:szCs w:val="24"/>
        </w:rPr>
      </w:pPr>
    </w:p>
    <w:p w14:paraId="4E62AE5B" w14:textId="4AF8859C" w:rsidR="00F0674D" w:rsidRPr="00F0674D" w:rsidRDefault="00000000" w:rsidP="00F0674D">
      <w:pPr>
        <w:tabs>
          <w:tab w:val="left" w:pos="1418"/>
        </w:tabs>
        <w:jc w:val="both"/>
        <w:rPr>
          <w:sz w:val="24"/>
          <w:szCs w:val="24"/>
          <w:lang w:val="pt-BR"/>
        </w:rPr>
      </w:pPr>
      <w:r>
        <w:rPr>
          <w:b/>
          <w:bCs/>
          <w:sz w:val="24"/>
          <w:szCs w:val="24"/>
        </w:rPr>
        <w:t>Resumo</w:t>
      </w:r>
      <w:r w:rsidR="00F0674D">
        <w:rPr>
          <w:sz w:val="24"/>
          <w:szCs w:val="24"/>
        </w:rPr>
        <w:t>:</w:t>
      </w:r>
      <w:r>
        <w:rPr>
          <w:sz w:val="24"/>
          <w:szCs w:val="24"/>
        </w:rPr>
        <w:t xml:space="preserve"> </w:t>
      </w:r>
      <w:r w:rsidR="00F0674D" w:rsidRPr="00F0674D">
        <w:rPr>
          <w:sz w:val="24"/>
          <w:szCs w:val="24"/>
          <w:lang w:val="pt-BR"/>
        </w:rPr>
        <w:t xml:space="preserve">Este ensaio teórico </w:t>
      </w:r>
      <w:r w:rsidR="00B84817" w:rsidRPr="00B84817">
        <w:rPr>
          <w:sz w:val="24"/>
          <w:szCs w:val="24"/>
        </w:rPr>
        <w:t>analisa a lógica cis-separatista</w:t>
      </w:r>
      <w:r w:rsidR="00F0674D" w:rsidRPr="00F0674D">
        <w:rPr>
          <w:sz w:val="24"/>
          <w:szCs w:val="24"/>
          <w:lang w:val="pt-BR"/>
        </w:rPr>
        <w:t xml:space="preserve"> no debate contemporâneo de gênero, focalizando a retórica da “proteção” feminina como estratégia de exclusão de pessoas trans e travestis. Sustenta-se que essa matriz discursiva opera como tecnologia biopolítica de gestão diferencial da vida, articulando essencialismo biológico, pânico moral e controle sobre regimes de visibilidade. Por meio de revisão bibliográfica crítica, argumenta-se que tal gramática estabelece convergência pragmática com o maquinário neoconservador, fornecendo legitimidade simbólica a iniciativas restritivas de direitos. Conclui-se pela urgência de alianças interseccionais na defesa dos direitos humanos.</w:t>
      </w:r>
    </w:p>
    <w:p w14:paraId="771D5361" w14:textId="4B762911" w:rsidR="009C3E7D" w:rsidRDefault="00000000">
      <w:pPr>
        <w:tabs>
          <w:tab w:val="left" w:pos="2835"/>
        </w:tabs>
        <w:jc w:val="both"/>
        <w:rPr>
          <w:sz w:val="24"/>
          <w:szCs w:val="24"/>
        </w:rPr>
      </w:pPr>
      <w:r>
        <w:rPr>
          <w:b/>
          <w:bCs/>
          <w:sz w:val="24"/>
          <w:szCs w:val="24"/>
        </w:rPr>
        <w:t>Palavras-chave</w:t>
      </w:r>
      <w:r>
        <w:rPr>
          <w:sz w:val="24"/>
          <w:szCs w:val="24"/>
        </w:rPr>
        <w:t xml:space="preserve">: </w:t>
      </w:r>
      <w:r w:rsidR="00200E88" w:rsidRPr="00200E88">
        <w:rPr>
          <w:sz w:val="24"/>
          <w:szCs w:val="24"/>
        </w:rPr>
        <w:t>Cis-separatismo; Pânico moral; Biopolítica; Neoconservadorismo.</w:t>
      </w:r>
    </w:p>
    <w:p w14:paraId="3B14AB32" w14:textId="77777777" w:rsidR="009C3E7D" w:rsidRDefault="009C3E7D">
      <w:pPr>
        <w:tabs>
          <w:tab w:val="left" w:pos="2835"/>
        </w:tabs>
        <w:jc w:val="both"/>
        <w:rPr>
          <w:b/>
          <w:bCs/>
          <w:sz w:val="24"/>
          <w:szCs w:val="24"/>
        </w:rPr>
      </w:pPr>
    </w:p>
    <w:p w14:paraId="22F879DA" w14:textId="59A052FF" w:rsidR="009C3E7D" w:rsidRPr="00546FD4" w:rsidRDefault="00000000">
      <w:pPr>
        <w:tabs>
          <w:tab w:val="left" w:pos="1418"/>
        </w:tabs>
        <w:jc w:val="both"/>
        <w:rPr>
          <w:sz w:val="24"/>
          <w:szCs w:val="24"/>
          <w:lang w:val="en-US"/>
        </w:rPr>
      </w:pPr>
      <w:r w:rsidRPr="00200E88">
        <w:rPr>
          <w:b/>
          <w:bCs/>
          <w:sz w:val="24"/>
          <w:szCs w:val="24"/>
          <w:lang w:val="en-US"/>
        </w:rPr>
        <w:t>Abstract</w:t>
      </w:r>
      <w:r w:rsidRPr="00200E88">
        <w:rPr>
          <w:sz w:val="24"/>
          <w:szCs w:val="24"/>
          <w:lang w:val="en-US"/>
        </w:rPr>
        <w:t xml:space="preserve">: </w:t>
      </w:r>
      <w:r w:rsidR="00546FD4" w:rsidRPr="00546FD4">
        <w:rPr>
          <w:sz w:val="24"/>
          <w:szCs w:val="24"/>
          <w:lang w:val="en-US"/>
        </w:rPr>
        <w:t xml:space="preserve">This theoretical essay analyzes the cis-separatist logic in contemporary gender debates, focusing on the rhetoric of “female protection” as a strategy for excluding trans people and </w:t>
      </w:r>
      <w:proofErr w:type="spellStart"/>
      <w:r w:rsidR="00546FD4" w:rsidRPr="00546FD4">
        <w:rPr>
          <w:sz w:val="24"/>
          <w:szCs w:val="24"/>
          <w:lang w:val="en-US"/>
        </w:rPr>
        <w:t>travestis</w:t>
      </w:r>
      <w:proofErr w:type="spellEnd"/>
      <w:r w:rsidR="00546FD4" w:rsidRPr="00546FD4">
        <w:rPr>
          <w:sz w:val="24"/>
          <w:szCs w:val="24"/>
          <w:lang w:val="en-US"/>
        </w:rPr>
        <w:t>. It argues that this discursive matrix operates as a biopolitical technology of differential life management, articulating biological essentialism, moral panic, and control over regimes of visibility. Through a critical literature review, it contends that this grammar establishes a pragmatic convergence with the neoconservative apparatus, providing symbolic legitimacy to rights-restricting initiatives. It concludes by emphasizing the urgency of intersectional alliances in the defense of human rights.</w:t>
      </w:r>
    </w:p>
    <w:p w14:paraId="31676E1F" w14:textId="73625FA7" w:rsidR="009C3E7D" w:rsidRPr="00200E88" w:rsidRDefault="00000000">
      <w:pPr>
        <w:tabs>
          <w:tab w:val="left" w:pos="1418"/>
        </w:tabs>
        <w:jc w:val="both"/>
        <w:rPr>
          <w:sz w:val="24"/>
          <w:szCs w:val="24"/>
          <w:lang w:val="en-US"/>
        </w:rPr>
      </w:pPr>
      <w:r w:rsidRPr="00200E88">
        <w:rPr>
          <w:b/>
          <w:bCs/>
          <w:sz w:val="24"/>
          <w:szCs w:val="24"/>
          <w:lang w:val="en-US"/>
        </w:rPr>
        <w:t>Keywords</w:t>
      </w:r>
      <w:r w:rsidRPr="00200E88">
        <w:rPr>
          <w:sz w:val="24"/>
          <w:szCs w:val="24"/>
          <w:lang w:val="en-US"/>
        </w:rPr>
        <w:t xml:space="preserve">: </w:t>
      </w:r>
      <w:proofErr w:type="gramStart"/>
      <w:r w:rsidR="00200E88" w:rsidRPr="00200E88">
        <w:rPr>
          <w:sz w:val="24"/>
          <w:szCs w:val="24"/>
          <w:lang w:val="en-US"/>
        </w:rPr>
        <w:t>Cis-separatism</w:t>
      </w:r>
      <w:proofErr w:type="gramEnd"/>
      <w:r w:rsidR="00200E88" w:rsidRPr="00200E88">
        <w:rPr>
          <w:sz w:val="24"/>
          <w:szCs w:val="24"/>
          <w:lang w:val="en-US"/>
        </w:rPr>
        <w:t>; Moral panic; Biopolitics; Neoconservatism.</w:t>
      </w:r>
    </w:p>
    <w:p w14:paraId="67F87181" w14:textId="77777777" w:rsidR="009C3E7D" w:rsidRPr="00200E88" w:rsidRDefault="009C3E7D">
      <w:pPr>
        <w:tabs>
          <w:tab w:val="left" w:pos="1418"/>
        </w:tabs>
        <w:jc w:val="both"/>
        <w:rPr>
          <w:sz w:val="24"/>
          <w:szCs w:val="24"/>
          <w:lang w:val="en-US"/>
        </w:rPr>
      </w:pPr>
    </w:p>
    <w:p w14:paraId="6670ECA5" w14:textId="77777777" w:rsidR="009C3E7D" w:rsidRPr="00DC10C6" w:rsidRDefault="009C3E7D">
      <w:pPr>
        <w:jc w:val="both"/>
        <w:rPr>
          <w:sz w:val="24"/>
          <w:szCs w:val="24"/>
          <w:lang w:val="en-US"/>
        </w:rPr>
      </w:pPr>
    </w:p>
    <w:p w14:paraId="6A7E0C35" w14:textId="336762AF" w:rsidR="00200E88" w:rsidRPr="00200E88" w:rsidRDefault="00200E88" w:rsidP="004626DC">
      <w:pPr>
        <w:spacing w:line="360" w:lineRule="auto"/>
        <w:jc w:val="both"/>
        <w:rPr>
          <w:sz w:val="24"/>
          <w:szCs w:val="24"/>
        </w:rPr>
      </w:pPr>
      <w:r w:rsidRPr="00200E88">
        <w:rPr>
          <w:b/>
          <w:bCs/>
          <w:sz w:val="24"/>
          <w:szCs w:val="24"/>
          <w:lang w:val="pt-BR"/>
        </w:rPr>
        <w:t>1 INTRODUÇÃO</w:t>
      </w:r>
    </w:p>
    <w:p w14:paraId="342007C5" w14:textId="1E141ACE" w:rsidR="00F0674D" w:rsidRPr="00F0674D" w:rsidRDefault="00F0674D" w:rsidP="004626DC">
      <w:pPr>
        <w:spacing w:line="360" w:lineRule="auto"/>
        <w:ind w:firstLine="720"/>
        <w:jc w:val="both"/>
        <w:rPr>
          <w:sz w:val="24"/>
          <w:szCs w:val="24"/>
          <w:lang w:val="pt-BR"/>
        </w:rPr>
      </w:pPr>
      <w:r w:rsidRPr="00F0674D">
        <w:rPr>
          <w:sz w:val="24"/>
          <w:szCs w:val="24"/>
          <w:lang w:val="pt-BR"/>
        </w:rPr>
        <w:t xml:space="preserve">Os debates contemporâneos sobre gênero, sexualidade e direitos humanos têm sido atravessados por uma reconfiguração intensa </w:t>
      </w:r>
      <w:r w:rsidR="00767CBF">
        <w:rPr>
          <w:sz w:val="24"/>
          <w:szCs w:val="24"/>
          <w:lang w:val="pt-BR"/>
        </w:rPr>
        <w:t>–</w:t>
      </w:r>
      <w:r w:rsidRPr="00F0674D">
        <w:rPr>
          <w:sz w:val="24"/>
          <w:szCs w:val="24"/>
          <w:lang w:val="pt-BR"/>
        </w:rPr>
        <w:t xml:space="preserve"> e frequentemente violenta </w:t>
      </w:r>
      <w:r w:rsidR="00767CBF">
        <w:rPr>
          <w:sz w:val="24"/>
          <w:szCs w:val="24"/>
          <w:lang w:val="pt-BR"/>
        </w:rPr>
        <w:t>–</w:t>
      </w:r>
      <w:r w:rsidRPr="00F0674D">
        <w:rPr>
          <w:sz w:val="24"/>
          <w:szCs w:val="24"/>
          <w:lang w:val="pt-BR"/>
        </w:rPr>
        <w:t xml:space="preserve"> das disputas em torno da definição do sujeito político do feminismo. No mesmo contexto em que se consolidam frentes antigênero e agendas neoconservadoras em escala global, observa-se também, no interior de determinados campos autoproclamados progressistas, a rearticulação de uma matriz discursiva ancorada </w:t>
      </w:r>
      <w:r w:rsidRPr="00F0674D">
        <w:rPr>
          <w:sz w:val="24"/>
          <w:szCs w:val="24"/>
          <w:lang w:val="pt-BR"/>
        </w:rPr>
        <w:lastRenderedPageBreak/>
        <w:t>no cis-separatismo</w:t>
      </w:r>
      <w:r w:rsidR="00B84817">
        <w:rPr>
          <w:rStyle w:val="Refdenotaderodap"/>
          <w:sz w:val="24"/>
          <w:szCs w:val="24"/>
          <w:lang w:val="pt-BR"/>
        </w:rPr>
        <w:footnoteReference w:id="3"/>
      </w:r>
      <w:r w:rsidRPr="00F0674D">
        <w:rPr>
          <w:sz w:val="24"/>
          <w:szCs w:val="24"/>
          <w:lang w:val="pt-BR"/>
        </w:rPr>
        <w:t>. Longe de constituir fenômeno inteiramente novo, essa vertente atualiza, sob novas inflexões históricas, o recurso ao essencialismo biológico e reinscreve a lógica da colonialidade do gênero como fundamento para delimitar pertencimentos. A retórica da “proteção” de sujeitos cisgêneros, nesse cenário, não opera prioritariamente como prática emancipatória de cuidado, mas como justificativa para o policiamento de fronteiras identitárias, políticas e espaciais.</w:t>
      </w:r>
    </w:p>
    <w:p w14:paraId="4BD6EFE0" w14:textId="4BB56CD4" w:rsidR="00F0674D" w:rsidRPr="00F0674D" w:rsidRDefault="00F0674D" w:rsidP="00F0674D">
      <w:pPr>
        <w:spacing w:line="360" w:lineRule="auto"/>
        <w:ind w:firstLine="720"/>
        <w:jc w:val="both"/>
        <w:rPr>
          <w:sz w:val="24"/>
          <w:szCs w:val="24"/>
          <w:lang w:val="pt-BR"/>
        </w:rPr>
      </w:pPr>
      <w:r w:rsidRPr="00F0674D">
        <w:rPr>
          <w:sz w:val="24"/>
          <w:szCs w:val="24"/>
          <w:lang w:val="pt-BR"/>
        </w:rPr>
        <w:t>Diante desse acirramento normativo, este ensaio teórico propõe analisar as estratégias discursivas que legitimam a exclusão sistemática de pessoas trans</w:t>
      </w:r>
      <w:r w:rsidR="005B4022">
        <w:rPr>
          <w:sz w:val="24"/>
          <w:szCs w:val="24"/>
          <w:lang w:val="pt-BR"/>
        </w:rPr>
        <w:t>,</w:t>
      </w:r>
      <w:r w:rsidRPr="00F0674D">
        <w:rPr>
          <w:sz w:val="24"/>
          <w:szCs w:val="24"/>
          <w:lang w:val="pt-BR"/>
        </w:rPr>
        <w:t xml:space="preserve"> travestis</w:t>
      </w:r>
      <w:r w:rsidR="005B4022">
        <w:rPr>
          <w:sz w:val="24"/>
          <w:szCs w:val="24"/>
          <w:lang w:val="pt-BR"/>
        </w:rPr>
        <w:t xml:space="preserve"> e não-bináries</w:t>
      </w:r>
      <w:r w:rsidRPr="00F0674D">
        <w:rPr>
          <w:sz w:val="24"/>
          <w:szCs w:val="24"/>
          <w:lang w:val="pt-BR"/>
        </w:rPr>
        <w:t xml:space="preserve"> sob o argumento de salvaguardar a segurança e a materialidade feminina. Sustenta-se que o discurso da “proteção </w:t>
      </w:r>
      <w:r w:rsidR="00546FD4" w:rsidRPr="00F0674D">
        <w:rPr>
          <w:sz w:val="24"/>
          <w:szCs w:val="24"/>
          <w:lang w:val="pt-BR"/>
        </w:rPr>
        <w:t>cisgênero</w:t>
      </w:r>
      <w:r w:rsidRPr="00F0674D">
        <w:rPr>
          <w:sz w:val="24"/>
          <w:szCs w:val="24"/>
          <w:lang w:val="pt-BR"/>
        </w:rPr>
        <w:t>” ultrapassa a esfera de divergências epistêmicas internas ao feminismo e deve ser compreendido como tecnologia biopolítica de gestão diferencial da vida. Ao mobilizar o pânico moral e o determinismo anatômico como fundamentos incontestáveis, o cis-separatismo contribui para a consolidação de regimes de visibilidade restritivos e para a naturalização de práticas de exclusão que se desdobram tanto no cotidiano quanto nas engrenagens institucionais do Estado.</w:t>
      </w:r>
    </w:p>
    <w:p w14:paraId="0FBD4004" w14:textId="108831C0"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A hipótese central aqui defendida é que essa gramática de proteção estabelece uma convergência paradoxal com o maquinário neoconservador. Ao compartilhar a centralidade do sexo biológico como critério último de legitimidade e ao fantasmagorizar o gênero como ameaça, o cis-separatismo fornece lastro simbólico e verniz progressista a iniciativas legislativas, administrativas e discursivas que restringem direitos da população LGBTI+. Não se trata de afirmar identidade plena entre projetos políticos distintos, mas de evidenciar zonas de intersecção pragmática que produzem efeitos concretos na precarização de vidas </w:t>
      </w:r>
      <w:r w:rsidR="005B4022">
        <w:rPr>
          <w:sz w:val="24"/>
          <w:szCs w:val="24"/>
          <w:lang w:val="pt-BR"/>
        </w:rPr>
        <w:t>dissidentes de gênero</w:t>
      </w:r>
      <w:r w:rsidRPr="00F0674D">
        <w:rPr>
          <w:sz w:val="24"/>
          <w:szCs w:val="24"/>
          <w:lang w:val="pt-BR"/>
        </w:rPr>
        <w:t>.</w:t>
      </w:r>
      <w:r w:rsidR="00B16EF5">
        <w:rPr>
          <w:sz w:val="24"/>
          <w:szCs w:val="24"/>
          <w:lang w:val="pt-BR"/>
        </w:rPr>
        <w:t xml:space="preserve"> </w:t>
      </w:r>
      <w:r w:rsidR="00B16EF5" w:rsidRPr="00B16EF5">
        <w:rPr>
          <w:sz w:val="24"/>
          <w:szCs w:val="24"/>
        </w:rPr>
        <w:t>Ao longo do texto, essa dinâmica será tratada como lógica cis-separatista.</w:t>
      </w:r>
    </w:p>
    <w:p w14:paraId="6A4D928C" w14:textId="488EA82D" w:rsidR="00F0674D" w:rsidRPr="00F0674D" w:rsidRDefault="00F0674D" w:rsidP="00F0674D">
      <w:pPr>
        <w:spacing w:line="360" w:lineRule="auto"/>
        <w:ind w:firstLine="720"/>
        <w:jc w:val="both"/>
        <w:rPr>
          <w:sz w:val="24"/>
          <w:szCs w:val="24"/>
          <w:lang w:val="pt-BR"/>
        </w:rPr>
      </w:pPr>
      <w:r w:rsidRPr="00F0674D">
        <w:rPr>
          <w:sz w:val="24"/>
          <w:szCs w:val="24"/>
          <w:lang w:val="pt-BR"/>
        </w:rPr>
        <w:t>A relevância desta reflexão reside na necessidade de compreender como narrativas excludentes podem instrumentalizar o próprio vocabulário crítico dos movimentos sociais</w:t>
      </w:r>
      <w:r w:rsidR="005B4022">
        <w:rPr>
          <w:sz w:val="24"/>
          <w:szCs w:val="24"/>
          <w:lang w:val="pt-BR"/>
        </w:rPr>
        <w:t>,</w:t>
      </w:r>
      <w:r w:rsidRPr="00F0674D">
        <w:rPr>
          <w:sz w:val="24"/>
          <w:szCs w:val="24"/>
          <w:lang w:val="pt-BR"/>
        </w:rPr>
        <w:t xml:space="preserve"> apropriando-se de categorias como segurança, violência </w:t>
      </w:r>
      <w:r w:rsidRPr="00F0674D">
        <w:rPr>
          <w:sz w:val="24"/>
          <w:szCs w:val="24"/>
          <w:lang w:val="pt-BR"/>
        </w:rPr>
        <w:lastRenderedPageBreak/>
        <w:t>estrutural e proteção</w:t>
      </w:r>
      <w:r w:rsidR="005B4022">
        <w:rPr>
          <w:sz w:val="24"/>
          <w:szCs w:val="24"/>
          <w:lang w:val="pt-BR"/>
        </w:rPr>
        <w:t>,</w:t>
      </w:r>
      <w:r w:rsidRPr="00F0674D">
        <w:rPr>
          <w:sz w:val="24"/>
          <w:szCs w:val="24"/>
          <w:lang w:val="pt-BR"/>
        </w:rPr>
        <w:t xml:space="preserve"> para reforçar normatividades e reiterar hierarquias. Sob uma perspectiva sociológica e interseccional, torna-se fundamental examinar os modos pelos quais disputas </w:t>
      </w:r>
      <w:r w:rsidR="005B4022">
        <w:rPr>
          <w:sz w:val="24"/>
          <w:szCs w:val="24"/>
          <w:lang w:val="pt-BR"/>
        </w:rPr>
        <w:t xml:space="preserve">entre </w:t>
      </w:r>
      <w:r w:rsidRPr="00F0674D">
        <w:rPr>
          <w:sz w:val="24"/>
          <w:szCs w:val="24"/>
          <w:lang w:val="pt-BR"/>
        </w:rPr>
        <w:t>campos progressistas se articulam com ofensivas institucionais mais amplas contra direitos humanos.</w:t>
      </w:r>
    </w:p>
    <w:p w14:paraId="44AEEBB7" w14:textId="1C7CAEB1" w:rsidR="00244389" w:rsidRPr="00244389" w:rsidRDefault="00F0674D" w:rsidP="00F0674D">
      <w:pPr>
        <w:spacing w:line="360" w:lineRule="auto"/>
        <w:ind w:firstLine="720"/>
        <w:jc w:val="both"/>
        <w:rPr>
          <w:sz w:val="24"/>
          <w:szCs w:val="24"/>
          <w:lang w:val="pt-BR"/>
        </w:rPr>
      </w:pPr>
      <w:r w:rsidRPr="007610DD">
        <w:rPr>
          <w:sz w:val="24"/>
          <w:szCs w:val="24"/>
          <w:lang w:val="pt-BR"/>
        </w:rPr>
        <w:t>Metodologicamente ancorado em revisão bibliográfica crítica, o ensaio organiza-se em três eixos analíticos. Inicialmente, realiza-se uma genealogia das tensões que fundamentam as pautas cis-separatistas, evidenciando suas raízes no sistema sexo/gênero e na cisnormatividade. Em seguida, examina-se como o pânico moral opera na espacialização da exclusão, convertendo disputas identitárias em regimes concretos de controle sobre a circulação e a visibilidade de corpos trans</w:t>
      </w:r>
      <w:r w:rsidR="005B4022">
        <w:rPr>
          <w:sz w:val="24"/>
          <w:szCs w:val="24"/>
          <w:lang w:val="pt-BR"/>
        </w:rPr>
        <w:t>, travestis e não-bináries</w:t>
      </w:r>
      <w:r w:rsidRPr="007610DD">
        <w:rPr>
          <w:sz w:val="24"/>
          <w:szCs w:val="24"/>
          <w:lang w:val="pt-BR"/>
        </w:rPr>
        <w:t>. Por fim, analisa-se o paradoxo da convergência biopolítica entre o cis-separatismo e a agenda neoconservadora, apontando, nas considerações finais, para a necessidade de uma política radical de alianças interseccionais capaz de enfrentar, simultaneamente, a fragmentação interna e a ofensiva externa aos direitos humanos.</w:t>
      </w:r>
    </w:p>
    <w:p w14:paraId="11886E3A" w14:textId="77777777" w:rsidR="00200E88" w:rsidRDefault="00200E88" w:rsidP="002F66F0">
      <w:pPr>
        <w:spacing w:line="360" w:lineRule="auto"/>
        <w:rPr>
          <w:b/>
          <w:bCs/>
          <w:sz w:val="24"/>
          <w:szCs w:val="24"/>
          <w:lang w:val="pt-BR"/>
        </w:rPr>
      </w:pPr>
    </w:p>
    <w:p w14:paraId="146E3092" w14:textId="49066D7E" w:rsidR="002F66F0" w:rsidRPr="002F66F0" w:rsidRDefault="00200E88" w:rsidP="002F66F0">
      <w:pPr>
        <w:spacing w:line="360" w:lineRule="auto"/>
        <w:rPr>
          <w:b/>
          <w:bCs/>
          <w:sz w:val="24"/>
          <w:szCs w:val="24"/>
          <w:lang w:val="pt-BR"/>
        </w:rPr>
      </w:pPr>
      <w:r w:rsidRPr="002F66F0">
        <w:rPr>
          <w:b/>
          <w:bCs/>
          <w:sz w:val="24"/>
          <w:szCs w:val="24"/>
          <w:lang w:val="pt-BR"/>
        </w:rPr>
        <w:t xml:space="preserve">2 GENEALOGIA DE UMA </w:t>
      </w:r>
      <w:r>
        <w:rPr>
          <w:b/>
          <w:bCs/>
          <w:sz w:val="24"/>
          <w:szCs w:val="24"/>
          <w:lang w:val="pt-BR"/>
        </w:rPr>
        <w:t>T</w:t>
      </w:r>
      <w:r w:rsidRPr="002F66F0">
        <w:rPr>
          <w:b/>
          <w:bCs/>
          <w:sz w:val="24"/>
          <w:szCs w:val="24"/>
          <w:lang w:val="pt-BR"/>
        </w:rPr>
        <w:t>ENSÃO: RAÍZES HISTÓRICAS E SOCIOLÓGICAS DAS PAUTAS CIS-SEPARATISTAS</w:t>
      </w:r>
    </w:p>
    <w:p w14:paraId="34C5C1A2" w14:textId="6061AC0E"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A emergência contemporânea dos discursos cis-separatistas no interior das disputas de gênero não pode ser compreendida como fenômeno episódico, tampouco como mero subproduto das dinâmicas digitais recentes. Trata-se de uma formação discursiva cuja inteligibilidade exige uma operação genealógica: é necessário desnaturalizar as categorias de sexo e gênero, apreendendo-as como construções históricas atravessadas por relações de poder, e não como fundamentos biológicos </w:t>
      </w:r>
      <w:r w:rsidR="00E10B70">
        <w:rPr>
          <w:sz w:val="24"/>
          <w:szCs w:val="24"/>
          <w:lang w:val="pt-BR"/>
        </w:rPr>
        <w:t>inquestionáveis</w:t>
      </w:r>
      <w:r w:rsidRPr="00F0674D">
        <w:rPr>
          <w:sz w:val="24"/>
          <w:szCs w:val="24"/>
          <w:lang w:val="pt-BR"/>
        </w:rPr>
        <w:t xml:space="preserve">. Nesse sentido, </w:t>
      </w:r>
      <w:proofErr w:type="spellStart"/>
      <w:r w:rsidRPr="00F0674D">
        <w:rPr>
          <w:sz w:val="24"/>
          <w:szCs w:val="24"/>
          <w:lang w:val="pt-BR"/>
        </w:rPr>
        <w:t>Gayle</w:t>
      </w:r>
      <w:proofErr w:type="spellEnd"/>
      <w:r w:rsidRPr="00F0674D">
        <w:rPr>
          <w:sz w:val="24"/>
          <w:szCs w:val="24"/>
          <w:lang w:val="pt-BR"/>
        </w:rPr>
        <w:t xml:space="preserve"> Rubin </w:t>
      </w:r>
      <w:r>
        <w:rPr>
          <w:sz w:val="24"/>
          <w:szCs w:val="24"/>
          <w:lang w:val="pt-BR"/>
        </w:rPr>
        <w:fldChar w:fldCharType="begin"/>
      </w:r>
      <w:r>
        <w:rPr>
          <w:sz w:val="24"/>
          <w:szCs w:val="24"/>
          <w:lang w:val="pt-BR"/>
        </w:rPr>
        <w:instrText xml:space="preserve"> ADDIN ZOTERO_ITEM CSL_CITATION {"citationID":"PipFo7AB","properties":{"formattedCitation":"(2017)","plainCitation":"(2017)","noteIndex":0},"citationItems":[{"id":129,"uris":["http://zotero.org/users/13909333/items/IWXKAYBQ"],"itemData":{"id":129,"type":"book","abstract":"Dois ensaios de referência fundamental para os estudos de gênero e sexualidade são reunidos e publicados neste volume. “O tráfico de mulheres” foi publicado em 1975, sob o impacto da tradução de Lévi-Strauss e da crescente presença do marxismo e da psicanálise no meio acadêmico estadunidense, num período em que as ciências humanas afirmavam que a desigualdade não era natural (mas social), e a antropologia se questionava sobre a universalidade da opressão das mulheres. Revendo e problematizando autores canônicos – Marx e Engels, Lévi-Strauss, Freud e Lacan – Rubin utiliza pela primeira vez o termo gênero num texto de teoria antropológica, afirmando a existência de um sistema de sexo-gênero, associado à própria passagem da natureza para a cultura. Ela critica e questiona a heterossexualidade implícita no raciocínio desses autores – como a presença de um tabu anterior ao do incesto, o da homossexualidade na teoria de Lévi-Strauss. Numa linguagem acessível para não antropólogos, Rubin argumenta que gênero e sexualidade devem ser pensados em interação, sugerindo que é o próprio arranjo do parentesco que produz socialmente o gênero, uma vez que por meio do casamento e da divisão sexual do trabalho se institui a diferença entre homens e mulheres. A desigualdade socialentre homens e mulheres aparece em estreita conexão com o controle da sexualidade feminina e a instituição do ideal heterossexual. Marco da reflexão sobre sexualidade, em “Pensando o sexo”, a autora argumenta que a sexualidade constitui uma categoria de desigualdade em si – em certa medida um eixo de hierarquia descolado do gênero. De modo provocativo, o texto problematiza as categorias classificatórias e expõe algumas formas regulatórias da sexualidade, como o direito e a medicina. Em diálogo com Foucault, revisões históricas como a de Jeffrey Weeks, além da evidente inspiração nas análises antropológicas que descrevem a diversidade cultural com relação à sexualidade, Rubin criticou a moralidade sexual subjacente às teorias e aos movimentos sociais com a mesma veemência com que tratou o status quo da teoria antropológica. Estes ensaios constituem os dois textos mais influentes de uma autora que se afirma militante feminista e pelos direitos das minorias sexuais. São textos fundamentais para entender o debate contemporâneo sobre gênero e sexualidade.","edition":"1","ISBN":"978-85-92886-48-6","language":"Português","publisher":"Ubu Editora","source":"Amazon","title":"Políticas do sexo","author":[{"family":"Rubin","given":"Gayle"}],"issued":{"date-parts":[["2017",9,1]]}},"suppress-author":true}],"schema":"https://github.com/citation-style-language/schema/raw/master/csl-citation.json"} </w:instrText>
      </w:r>
      <w:r>
        <w:rPr>
          <w:sz w:val="24"/>
          <w:szCs w:val="24"/>
          <w:lang w:val="pt-BR"/>
        </w:rPr>
        <w:fldChar w:fldCharType="separate"/>
      </w:r>
      <w:r w:rsidRPr="00F0674D">
        <w:rPr>
          <w:sz w:val="24"/>
        </w:rPr>
        <w:t>(2017)</w:t>
      </w:r>
      <w:r>
        <w:rPr>
          <w:sz w:val="24"/>
          <w:szCs w:val="24"/>
          <w:lang w:val="pt-BR"/>
        </w:rPr>
        <w:fldChar w:fldCharType="end"/>
      </w:r>
      <w:r w:rsidRPr="00F0674D">
        <w:rPr>
          <w:sz w:val="24"/>
          <w:szCs w:val="24"/>
          <w:lang w:val="pt-BR"/>
        </w:rPr>
        <w:t xml:space="preserve">, em </w:t>
      </w:r>
      <w:r w:rsidRPr="00F0674D">
        <w:rPr>
          <w:i/>
          <w:iCs/>
          <w:sz w:val="24"/>
          <w:szCs w:val="24"/>
          <w:lang w:val="pt-BR"/>
        </w:rPr>
        <w:t>Políticas do Sexo</w:t>
      </w:r>
      <w:r w:rsidRPr="00F0674D">
        <w:rPr>
          <w:sz w:val="24"/>
          <w:szCs w:val="24"/>
          <w:lang w:val="pt-BR"/>
        </w:rPr>
        <w:t>, oferece um ponto de partida crucial ao formular o conceito de sistema sexo/gênero. Para a autora, as sociedades ocidentais organizam a vida social por meio de uma economia moral que hierarquiza práticas sexuais e identidades corporificadas, separando aquilo que é considerado legítimo, saudável e protegível daquilo que é lançado à abjeção.</w:t>
      </w:r>
    </w:p>
    <w:p w14:paraId="21A22484" w14:textId="179669E1" w:rsidR="00F0674D" w:rsidRDefault="00F0674D" w:rsidP="00F0674D">
      <w:pPr>
        <w:spacing w:line="360" w:lineRule="auto"/>
        <w:ind w:firstLine="720"/>
        <w:jc w:val="both"/>
        <w:rPr>
          <w:sz w:val="24"/>
          <w:szCs w:val="24"/>
          <w:lang w:val="pt-BR"/>
        </w:rPr>
      </w:pPr>
      <w:r w:rsidRPr="00F0674D">
        <w:rPr>
          <w:sz w:val="24"/>
          <w:szCs w:val="24"/>
          <w:lang w:val="pt-BR"/>
        </w:rPr>
        <w:t xml:space="preserve">Esse sistema não opera de modo espontâneo ou estático; ele depende de mecanismos contínuos de vigilância, classificação e punição. A fronteira entre o aceitável e o abjeto precisa ser permanentemente reafirmada. O cis-separatismo emerge precisamente nesse ponto de tensão: como um esforço de </w:t>
      </w:r>
      <w:proofErr w:type="spellStart"/>
      <w:r w:rsidRPr="00F0674D">
        <w:rPr>
          <w:sz w:val="24"/>
          <w:szCs w:val="24"/>
          <w:lang w:val="pt-BR"/>
        </w:rPr>
        <w:t>reestabilização</w:t>
      </w:r>
      <w:proofErr w:type="spellEnd"/>
      <w:r w:rsidRPr="00F0674D">
        <w:rPr>
          <w:sz w:val="24"/>
          <w:szCs w:val="24"/>
          <w:lang w:val="pt-BR"/>
        </w:rPr>
        <w:t xml:space="preserve"> de </w:t>
      </w:r>
      <w:r w:rsidRPr="00F0674D">
        <w:rPr>
          <w:sz w:val="24"/>
          <w:szCs w:val="24"/>
          <w:lang w:val="pt-BR"/>
        </w:rPr>
        <w:lastRenderedPageBreak/>
        <w:t xml:space="preserve">limites percebidos como ameaçados. Sua retórica não inaugura um novo regime moral, mas reinscreve </w:t>
      </w:r>
      <w:r w:rsidR="00767CBF">
        <w:rPr>
          <w:sz w:val="24"/>
          <w:szCs w:val="24"/>
          <w:lang w:val="pt-BR"/>
        </w:rPr>
        <w:t>–</w:t>
      </w:r>
      <w:r w:rsidRPr="00F0674D">
        <w:rPr>
          <w:sz w:val="24"/>
          <w:szCs w:val="24"/>
          <w:lang w:val="pt-BR"/>
        </w:rPr>
        <w:t xml:space="preserve"> sob novas roupagens </w:t>
      </w:r>
      <w:r w:rsidR="00767CBF">
        <w:rPr>
          <w:sz w:val="24"/>
          <w:szCs w:val="24"/>
          <w:lang w:val="pt-BR"/>
        </w:rPr>
        <w:t>–</w:t>
      </w:r>
      <w:r w:rsidRPr="00F0674D">
        <w:rPr>
          <w:sz w:val="24"/>
          <w:szCs w:val="24"/>
          <w:lang w:val="pt-BR"/>
        </w:rPr>
        <w:t xml:space="preserve"> uma lógica histórica de policiamento dos corpos. O que se apresenta como defesa identitária é, sob análise, uma prática de contenção normativa que reativa dispositivos clássicos de exclusão.</w:t>
      </w:r>
    </w:p>
    <w:p w14:paraId="645FAC6D" w14:textId="5ECBEC26"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A tensão entre determinados segmentos do feminismo e as existências trans adquire contornos institucionais mais visíveis a partir da década de 1970. Conforme demonstra a </w:t>
      </w:r>
      <w:r w:rsidR="00455615">
        <w:rPr>
          <w:sz w:val="24"/>
          <w:szCs w:val="24"/>
          <w:lang w:val="pt-BR"/>
        </w:rPr>
        <w:t xml:space="preserve">literatura </w:t>
      </w:r>
      <w:r w:rsidR="00DC10C6">
        <w:rPr>
          <w:sz w:val="24"/>
          <w:szCs w:val="24"/>
          <w:lang w:val="pt-BR"/>
        </w:rPr>
        <w:t>acadêmica</w:t>
      </w:r>
      <w:r w:rsidRPr="00F0674D">
        <w:rPr>
          <w:sz w:val="24"/>
          <w:szCs w:val="24"/>
          <w:lang w:val="pt-BR"/>
        </w:rPr>
        <w:t xml:space="preserve"> ao examinar a inflexão transfóbica de parcelas do feminismo radical </w:t>
      </w:r>
      <w:r>
        <w:rPr>
          <w:sz w:val="24"/>
          <w:szCs w:val="24"/>
          <w:lang w:val="pt-BR"/>
        </w:rPr>
        <w:fldChar w:fldCharType="begin"/>
      </w:r>
      <w:r>
        <w:rPr>
          <w:sz w:val="24"/>
          <w:szCs w:val="24"/>
          <w:lang w:val="pt-BR"/>
        </w:rPr>
        <w:instrText xml:space="preserve"> ADDIN ZOTERO_ITEM CSL_CITATION {"citationID":"9wq02Ppl","properties":{"formattedCitation":"(Cyrino, 2023)","plainCitation":"(Cyrino, 2023)","noteIndex":0},"citationItems":[{"id":1034,"uris":["http://zotero.org/users/13909333/items/QN8XJC69"],"itemData":{"id":1034,"type":"article-journal","abstract":"Resumo Este artigo, de natureza teórica, analisa a história de construção, no campo feminista, de uma corrente feminista radical, com o objetivo de compreender as tensões e contradições que explicam a emergência de um “novo feminismo radical” cunhado de transfóbico. Buscando caracterizar e contextualizar o feminismo radical (início dos anos 1970) e o novo feminismo radical (fim da década), este estudo é orientado por uma análise dialética que procura identificar as diversas tensões e contradições que explicam, em cada contexto particular, o “movimento” feminista. A partir de uma análise de conteúdo dos textos associados ao feminismo radical e ao novo feminismo radical, buscou-se abordar tanto os pressupostos comuns quanto as divergências internas, tendo-se como referência as questões, controvérsias e críticas que, a cada momento histórico, tensionam o campo feminista. A análise sugeriu que a “nova” radicalidade construída pelo “novo” feminismo radical, a qual elegeu as identidades trans como alvos do combate na luta contra o patriarcado, estaria relacionada à influência crescente de um paradigma identitário particularmente excludente, combinado com uma versão biologizante e essencialista acerca da opressão das mulheres.\n          , \n            Abstract Thistheoretical article analyzes the development, in the feminist field of the early 1970s, of a radical feminist current, seeking to understand the tensions and contradictions that explain the emergence of a “new radical feminism” which is deemed transphobic. Seeking to characterize and contextualize both radical feminism (early 1970s) and the new radical feminism (late 1970s), this study is guided by a dialectical analysis aimed at identifying the various tensions and contradictions that explain, in each particular context, the feminist “movement”. Starting from a content analysis of texts associated with radical feminism and new radical feminism, the article explores common assumptions and internal divergences, taking into account the questions, controversies, and criticisms that have affected the feminist field throughout its history. The analysis reveals that new radical feminism’s construction of a “new” radicalism, which targets trans identities in the fight against patriarchy, is related to the growing influence of a particularly excluding identity paradigm and a biologizing and essentialist view of women’s oppression.","container-title":"Varia Historia","DOI":"10.1590/0104-87752023000100007","ISSN":"1982-4343, 0104-8775","issue":"79","journalAbbreviation":"Varia hist.","license":"http://creativecommons.org/licenses/by/4.0/","page":"e23107","source":"DOI.org (Crossref)","title":"A deriva transfóbica do feminismo radical dos anos 1970","volume":"39","author":[{"family":"Cyrino","given":"Rafaela"}],"issued":{"date-parts":[["2023",4]]}}}],"schema":"https://github.com/citation-style-language/schema/raw/master/csl-citation.json"} </w:instrText>
      </w:r>
      <w:r>
        <w:rPr>
          <w:sz w:val="24"/>
          <w:szCs w:val="24"/>
          <w:lang w:val="pt-BR"/>
        </w:rPr>
        <w:fldChar w:fldCharType="separate"/>
      </w:r>
      <w:r w:rsidRPr="00F0674D">
        <w:rPr>
          <w:sz w:val="24"/>
        </w:rPr>
        <w:t>(Cyrino, 2023)</w:t>
      </w:r>
      <w:r>
        <w:rPr>
          <w:sz w:val="24"/>
          <w:szCs w:val="24"/>
          <w:lang w:val="pt-BR"/>
        </w:rPr>
        <w:fldChar w:fldCharType="end"/>
      </w:r>
      <w:r w:rsidRPr="00F0674D">
        <w:rPr>
          <w:sz w:val="24"/>
          <w:szCs w:val="24"/>
          <w:lang w:val="pt-BR"/>
        </w:rPr>
        <w:t>, consolidou-se, nesse período, uma matriz discursiva que recorreu ao essencialismo biológico para delimitar a categoria política “mulher”. Há aqui um deslocamento paradoxal: ao invés de subverter o determinismo anatômico que historicamente justificou a exclusão das mulheres cisgêneras da cidadania plena, essa vertente passou a reapropriar-se da biologia como critério de autenticidade e pertencimento político.</w:t>
      </w:r>
    </w:p>
    <w:p w14:paraId="4566AE95" w14:textId="77777777" w:rsidR="00F0674D" w:rsidRPr="00F0674D" w:rsidRDefault="00F0674D" w:rsidP="00F0674D">
      <w:pPr>
        <w:spacing w:line="360" w:lineRule="auto"/>
        <w:ind w:firstLine="720"/>
        <w:jc w:val="both"/>
        <w:rPr>
          <w:sz w:val="24"/>
          <w:szCs w:val="24"/>
          <w:lang w:val="pt-BR"/>
        </w:rPr>
      </w:pPr>
      <w:r w:rsidRPr="00F0674D">
        <w:rPr>
          <w:sz w:val="24"/>
          <w:szCs w:val="24"/>
          <w:lang w:val="pt-BR"/>
        </w:rPr>
        <w:t>Esse movimento engendra uma ontologia biopolítica na qual a experiência da socialização feminina é tratada como núcleo fixo, homogêneo e intransponível. Corpos trans e travestis deixam de ser concebidos como sujeitos de direitos e passam a figurar como intrusos ontológicos, ameaças à integridade de um sujeito coletivo supostamente coeso. O efeito não é apenas simbólico: trata-se de uma reconfiguração das fronteiras da humanidade reconhecida, operada por meio da exclusão epistêmica e política.</w:t>
      </w:r>
    </w:p>
    <w:p w14:paraId="0F4473EE" w14:textId="2F1B8960" w:rsidR="00F0674D" w:rsidRPr="00F0674D" w:rsidRDefault="00F0674D" w:rsidP="00F0674D">
      <w:pPr>
        <w:spacing w:line="360" w:lineRule="auto"/>
        <w:ind w:firstLine="720"/>
        <w:jc w:val="both"/>
        <w:rPr>
          <w:sz w:val="24"/>
          <w:szCs w:val="24"/>
          <w:lang w:val="pt-BR"/>
        </w:rPr>
      </w:pPr>
      <w:r w:rsidRPr="00F0674D">
        <w:rPr>
          <w:sz w:val="24"/>
          <w:szCs w:val="24"/>
          <w:lang w:val="pt-BR"/>
        </w:rPr>
        <w:t>No contexto latino-americano</w:t>
      </w:r>
      <w:r w:rsidR="00E10B70">
        <w:rPr>
          <w:sz w:val="24"/>
          <w:szCs w:val="24"/>
          <w:lang w:val="pt-BR"/>
        </w:rPr>
        <w:t>,</w:t>
      </w:r>
      <w:r w:rsidRPr="00F0674D">
        <w:rPr>
          <w:sz w:val="24"/>
          <w:szCs w:val="24"/>
          <w:lang w:val="pt-BR"/>
        </w:rPr>
        <w:t xml:space="preserve"> e particularmente no brasileiro</w:t>
      </w:r>
      <w:r w:rsidR="00E10B70">
        <w:rPr>
          <w:sz w:val="24"/>
          <w:szCs w:val="24"/>
          <w:lang w:val="pt-BR"/>
        </w:rPr>
        <w:t>,</w:t>
      </w:r>
      <w:r w:rsidRPr="00F0674D">
        <w:rPr>
          <w:sz w:val="24"/>
          <w:szCs w:val="24"/>
          <w:lang w:val="pt-BR"/>
        </w:rPr>
        <w:t xml:space="preserve"> essa discussão adquire densidade adicional quando articulada às análises sobre dispositivos institucionais de produção do gênero. Berenice Bento </w:t>
      </w:r>
      <w:r>
        <w:rPr>
          <w:sz w:val="24"/>
          <w:szCs w:val="24"/>
          <w:lang w:val="pt-BR"/>
        </w:rPr>
        <w:fldChar w:fldCharType="begin"/>
      </w:r>
      <w:r>
        <w:rPr>
          <w:sz w:val="24"/>
          <w:szCs w:val="24"/>
          <w:lang w:val="pt-BR"/>
        </w:rPr>
        <w:instrText xml:space="preserve"> ADDIN ZOTERO_ITEM CSL_CITATION {"citationID":"GPTVlK7n","properties":{"formattedCitation":"(2017)","plainCitation":"(2017)","noteIndex":0},"citationItems":[{"id":108,"uris":["http://zotero.org/users/13909333/items/A5WEFBZG"],"itemData":{"id":108,"type":"book","ISBN":"978-85-93646-07-2","language":"pt-BR","publisher":"Editora Devires","source":"Câmara Brasileira do Livro ISBN","title":"A reinvenção do corpo: sexualidade e gênero na experiência transexual","title-short":"A reinvenção do corpo","author":[{"family":"Bento","given":"Berenice"}],"issued":{"date-parts":[["2017",12,15]]}},"suppress-author":true}],"schema":"https://github.com/citation-style-language/schema/raw/master/csl-citation.json"} </w:instrText>
      </w:r>
      <w:r>
        <w:rPr>
          <w:sz w:val="24"/>
          <w:szCs w:val="24"/>
          <w:lang w:val="pt-BR"/>
        </w:rPr>
        <w:fldChar w:fldCharType="separate"/>
      </w:r>
      <w:r w:rsidRPr="00F0674D">
        <w:rPr>
          <w:sz w:val="24"/>
        </w:rPr>
        <w:t>(2017)</w:t>
      </w:r>
      <w:r>
        <w:rPr>
          <w:sz w:val="24"/>
          <w:szCs w:val="24"/>
          <w:lang w:val="pt-BR"/>
        </w:rPr>
        <w:fldChar w:fldCharType="end"/>
      </w:r>
      <w:r w:rsidRPr="00F0674D">
        <w:rPr>
          <w:sz w:val="24"/>
          <w:szCs w:val="24"/>
          <w:lang w:val="pt-BR"/>
        </w:rPr>
        <w:t xml:space="preserve"> argumenta que o binarismo sexual não constitui um dado natural, mas um dispositivo histórico sustentado por engrenagens médico-legais, burocráticas e estatais que administram e classificam corpos. O que o cis-separatismo reivindica como defesa de uma essência feminina é, na prática, a reiteração do mesmo aparato classificatório que historicamente patologizou e disciplinou dissidências. Ao reivindicar o monopólio da experiência feminina, esse discurso atua como extensão informal de uma racionalidade estatal que regula quem pode ser reconhecido como sujeito inteligível.</w:t>
      </w:r>
    </w:p>
    <w:p w14:paraId="50203738" w14:textId="15A50C5D"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A análise de Viviane Vergueiro </w:t>
      </w:r>
      <w:r>
        <w:rPr>
          <w:sz w:val="24"/>
          <w:szCs w:val="24"/>
          <w:lang w:val="pt-BR"/>
        </w:rPr>
        <w:fldChar w:fldCharType="begin"/>
      </w:r>
      <w:r>
        <w:rPr>
          <w:sz w:val="24"/>
          <w:szCs w:val="24"/>
          <w:lang w:val="pt-BR"/>
        </w:rPr>
        <w:instrText xml:space="preserve"> ADDIN ZOTERO_ITEM CSL_CITATION {"citationID":"GkVpp1S5","properties":{"formattedCitation":"(2024)","plainCitation":"(2024)","noteIndex":0},"citationItems":[{"id":1040,"uris":["http://zotero.org/users/13909333/items/3QR5H5RX"],"itemData":{"id":1040,"type":"book","abstract":"POR INFLEXÕES DE COLONIAIS DE CORPOS E IDENTIDADES","edition":"1","ISBN":"978-65-5630-541-7","language":"Português","number-of-pages":"732","publisher":"Editora da UFBA","publisher-place":"Salvador","source":"Amazon","title":"Por inflexões decoloniais de corpos e identidades de gênero inconformes: uma análise autoetnográfica da cisgeneridade como normatividade","author":[{"family":"Vergueiro","given":"Viviane"}],"issued":{"date-parts":[["2024"]]}},"suppress-author":true}],"schema":"https://github.com/citation-style-language/schema/raw/master/csl-citation.json"} </w:instrText>
      </w:r>
      <w:r>
        <w:rPr>
          <w:sz w:val="24"/>
          <w:szCs w:val="24"/>
          <w:lang w:val="pt-BR"/>
        </w:rPr>
        <w:fldChar w:fldCharType="separate"/>
      </w:r>
      <w:r w:rsidRPr="00F0674D">
        <w:rPr>
          <w:sz w:val="24"/>
        </w:rPr>
        <w:t>(2024)</w:t>
      </w:r>
      <w:r>
        <w:rPr>
          <w:sz w:val="24"/>
          <w:szCs w:val="24"/>
          <w:lang w:val="pt-BR"/>
        </w:rPr>
        <w:fldChar w:fldCharType="end"/>
      </w:r>
      <w:r w:rsidRPr="00F0674D">
        <w:rPr>
          <w:sz w:val="24"/>
          <w:szCs w:val="24"/>
          <w:lang w:val="pt-BR"/>
        </w:rPr>
        <w:t xml:space="preserve"> aprofunda essa dimensão ao propor que a cisgeneridade não seja compreendida como simples atributo descritivo, mas como posição estrutural dotada de privilégios normativos. Nomear a cisgeneridade como </w:t>
      </w:r>
      <w:r w:rsidRPr="00F0674D">
        <w:rPr>
          <w:sz w:val="24"/>
          <w:szCs w:val="24"/>
          <w:lang w:val="pt-BR"/>
        </w:rPr>
        <w:lastRenderedPageBreak/>
        <w:t>categoria analítica permite evidenciar aquilo que opera como padrão invisível. O cis-separatismo, nessa chave, não é expressão neutra de autodefinição, mas manifestação de uma tecnologia de poder que naturaliza sua própria centralidade e transforma a diferença em ameaça.</w:t>
      </w:r>
    </w:p>
    <w:p w14:paraId="7EF33D4D" w14:textId="54BB6CF8"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Essa leitura se complexifica quando articulada à noção de “colonialidade do gênero”, formulada por </w:t>
      </w:r>
      <w:proofErr w:type="spellStart"/>
      <w:r w:rsidRPr="00F0674D">
        <w:rPr>
          <w:sz w:val="24"/>
          <w:szCs w:val="24"/>
          <w:lang w:val="pt-BR"/>
        </w:rPr>
        <w:t>María</w:t>
      </w:r>
      <w:proofErr w:type="spellEnd"/>
      <w:r w:rsidRPr="00F0674D">
        <w:rPr>
          <w:sz w:val="24"/>
          <w:szCs w:val="24"/>
          <w:lang w:val="pt-BR"/>
        </w:rPr>
        <w:t xml:space="preserve"> Lugones </w:t>
      </w:r>
      <w:r>
        <w:rPr>
          <w:sz w:val="24"/>
          <w:szCs w:val="24"/>
          <w:lang w:val="pt-BR"/>
        </w:rPr>
        <w:fldChar w:fldCharType="begin"/>
      </w:r>
      <w:r>
        <w:rPr>
          <w:sz w:val="24"/>
          <w:szCs w:val="24"/>
          <w:lang w:val="pt-BR"/>
        </w:rPr>
        <w:instrText xml:space="preserve"> ADDIN ZOTERO_ITEM CSL_CITATION {"citationID":"byUGBfOZ","properties":{"formattedCitation":"(2008)","plainCitation":"(2008)","noteIndex":0},"citationItems":[{"id":1052,"uris":["http://zotero.org/users/13909333/items/BAF4JHT9"],"itemData":{"id":1052,"type":"article-journal","container-title":"Tabula Rasa","ISSN":"1794-2489","issue":"9","language":"es","page":"73-102","publisher":"Universidad Colegio Mayor de Cundinamarca","publisher-place":"Bogotá","source":"SciELO","title":"Colonialidad y Género","author":[{"family":"Lugones","given":"María"}],"issued":{"date-parts":[["2008",12]]}},"suppress-author":true}],"schema":"https://github.com/citation-style-language/schema/raw/master/csl-citation.json"} </w:instrText>
      </w:r>
      <w:r>
        <w:rPr>
          <w:sz w:val="24"/>
          <w:szCs w:val="24"/>
          <w:lang w:val="pt-BR"/>
        </w:rPr>
        <w:fldChar w:fldCharType="separate"/>
      </w:r>
      <w:r w:rsidRPr="00F0674D">
        <w:rPr>
          <w:sz w:val="24"/>
        </w:rPr>
        <w:t>(2008)</w:t>
      </w:r>
      <w:r>
        <w:rPr>
          <w:sz w:val="24"/>
          <w:szCs w:val="24"/>
          <w:lang w:val="pt-BR"/>
        </w:rPr>
        <w:fldChar w:fldCharType="end"/>
      </w:r>
      <w:r w:rsidRPr="00F0674D">
        <w:rPr>
          <w:sz w:val="24"/>
          <w:szCs w:val="24"/>
          <w:lang w:val="pt-BR"/>
        </w:rPr>
        <w:t>. A autora demonstra que o dimorfismo sexual rígido, baseado em uma ontologia biológica binária, é parte integrante do projeto colonial moderno, que impôs classificações hierárquicas às populações colonizadas. O gênero, nesse sentido, é dispositivo de racialização e subalternização. Ao reinscrever a biologia como fundamento incontornável da política, o cis-separatismo reativa essa herança colonial, reproduzindo uma racionalidade classificatória que se apresenta como natural, mas é histórica e situada.</w:t>
      </w:r>
    </w:p>
    <w:p w14:paraId="5483AAA2" w14:textId="4B5DD18F"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Letícia Nascimento </w:t>
      </w:r>
      <w:r>
        <w:rPr>
          <w:sz w:val="24"/>
          <w:szCs w:val="24"/>
          <w:lang w:val="pt-BR"/>
        </w:rPr>
        <w:fldChar w:fldCharType="begin"/>
      </w:r>
      <w:r>
        <w:rPr>
          <w:sz w:val="24"/>
          <w:szCs w:val="24"/>
          <w:lang w:val="pt-BR"/>
        </w:rPr>
        <w:instrText xml:space="preserve"> ADDIN ZOTERO_ITEM CSL_CITATION {"citationID":"jUTKwkrC","properties":{"formattedCitation":"(2021)","plainCitation":"(2021)","noteIndex":0},"citationItems":[{"id":1054,"uris":["http://zotero.org/users/13909333/items/9UPGZUPF"],"itemData":{"id":1054,"type":"book","abstract":"Letícia Nascimento, em Transfeminismo, através de uma linguagem acessível e didática, traz ao público geral explicações necessárias sobre os conceitos de gênero, transgeneridade, mulheridade, feminilidade e feminismo. Mostra como cada vez mais é necessário que as pessoas estejam abertas às diversas existências que não necessariamente se encaixam no organização binária e cisgênera do mundo. Um primeiro passo nesse sentido é conhecer as experiências de quem faz parte desses grupos e esse livro, escrito por uma mulher travesti, negra e gorda, que está presente nos meios acadêmicos e é inspiração para outras mulheres transexuais e travestis, apresenta essas vivências, traz conceituações históricas e situa o transfeminismo dentro dos demais feminismos existentes.","edition":"1","ISBN":"978-65-87113-36-4","language":"Português","number-of-pages":"191","publisher":"Jandaíra","publisher-place":"São Paulo","source":"Amazon","title":"Transfeminismo","title-short":"Transfeminismo","author":[{"family":"Nascimento","given":"Letícia"}],"issued":{"date-parts":[["2021"]]}},"suppress-author":true}],"schema":"https://github.com/citation-style-language/schema/raw/master/csl-citation.json"} </w:instrText>
      </w:r>
      <w:r>
        <w:rPr>
          <w:sz w:val="24"/>
          <w:szCs w:val="24"/>
          <w:lang w:val="pt-BR"/>
        </w:rPr>
        <w:fldChar w:fldCharType="separate"/>
      </w:r>
      <w:r w:rsidRPr="00F0674D">
        <w:rPr>
          <w:sz w:val="24"/>
        </w:rPr>
        <w:t>(2021)</w:t>
      </w:r>
      <w:r>
        <w:rPr>
          <w:sz w:val="24"/>
          <w:szCs w:val="24"/>
          <w:lang w:val="pt-BR"/>
        </w:rPr>
        <w:fldChar w:fldCharType="end"/>
      </w:r>
      <w:r w:rsidRPr="00F0674D">
        <w:rPr>
          <w:sz w:val="24"/>
          <w:szCs w:val="24"/>
          <w:lang w:val="pt-BR"/>
        </w:rPr>
        <w:t xml:space="preserve">, ao reivindicar o transfeminismo como horizonte crítico, amplia essa crítica ao propor a cisgeneridade como ferramenta conceitual capaz de desvelar privilégios não nomeados. Sob essa perspectiva interseccional, o cis-separatismo pode ser interpretado como cisnormatividade </w:t>
      </w:r>
      <w:r w:rsidR="00903266" w:rsidRPr="00903266">
        <w:rPr>
          <w:sz w:val="24"/>
          <w:szCs w:val="24"/>
          <w:lang w:val="pt-BR"/>
        </w:rPr>
        <w:t>disfarçada</w:t>
      </w:r>
      <w:r w:rsidRPr="00F0674D">
        <w:rPr>
          <w:sz w:val="24"/>
          <w:szCs w:val="24"/>
          <w:lang w:val="pt-BR"/>
        </w:rPr>
        <w:t xml:space="preserve"> de autodefesa: trata-se da manutenção de um privilégio epistêmico que reivindica para si o poder de definir quem é sujeito legítimo da categoria “mulher”. O conflito não é apenas identitário; é epistemológico e político, pois envolve a disputa sobre os critérios de reconhecimento e pertencimento.</w:t>
      </w:r>
    </w:p>
    <w:p w14:paraId="5A35E5D6" w14:textId="6CE37A1A"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Essa genealogia de exclusões encontra, no cenário contemporâneo de ascensão neoconservadora, um ponto de convergência inquietante. </w:t>
      </w:r>
      <w:r w:rsidRPr="00F0674D">
        <w:rPr>
          <w:sz w:val="24"/>
          <w:szCs w:val="24"/>
          <w:lang w:val="en-US"/>
        </w:rPr>
        <w:t xml:space="preserve">Judith Butler </w:t>
      </w:r>
      <w:r w:rsidRPr="00744B60">
        <w:rPr>
          <w:sz w:val="24"/>
          <w:szCs w:val="24"/>
          <w:lang w:val="pt-BR"/>
        </w:rPr>
        <w:fldChar w:fldCharType="begin"/>
      </w:r>
      <w:r w:rsidRPr="00DC10C6">
        <w:rPr>
          <w:sz w:val="24"/>
          <w:szCs w:val="24"/>
          <w:lang w:val="en-US"/>
        </w:rPr>
        <w:instrText xml:space="preserve"> ADDIN ZOTERO_ITEM CSL_CITATION {"citationID":"d8EUDHKs","properties":{"formattedCitation":"(2024)","plainCitation":"(2024)","noteIndex":0},"citationItems":[{"id":1046,"uris":["http://zotero.org/users/13909333/items/F34ZG8RA"],"itemData":{"id":1046,"type":"book","abstract":"Neste seu primeiro livro não acadêmico, Judith Butler analisa como o “gênero” se tornou central em discursos conservadores e reacionários, um fantasma com o objetivo de criar pânico moral e angariar apoio popular a projetos políticos fascistas, autoritários e excludentes.  Intervenção essencial em uma das questões mais inflamadas da atualidade, Quem tem medo do gênero? é uma convocatória arrojada a construir uma coalizão ampla contra as novas formas do fascismo. “É crucial que a política de gênero se oponha ao neoliberalismo e a outras formas de devastação capitalista e não se torne seu instrumento”, insiste Butler.  Em tempos sombrios, Butler nos oferece uma obra esperançosa de análise social e política. Ao abordar uma ampla variedade de temas – das feministas radicais transexcludentes ao novo populismo de direita, passando pelos ataques aos direitos reprodutivos, a dicotomia natureza/cultura, o debate sobre atletas trans e os legados colonial e racial do dimorfismo de gênero, entre outros –, o livro articula um robusto esforço emancipatório de imaginar novas possibilidades de liberdade e solidariedade.  O conservadorismo no Brasil, crescente nos últimos anos, é um dos objetos de análise da obra. Butler conta que o livro começou a ser desenvolvido em 2017, após sua visita ao Brasil, onde foi barbaramente hostilizada por manifestantes “antigênero”: “No aeroporto de São Paulo, minha parceira, Wendy Brown, e eu, fomos confrontadas por pessoas que nos ameaçaram de agressão física. Agradeço ao jovem da mochila que jogou o corpo entre mim e um agressor, recebendo os golpes que me eram dirigidos. Gostaria de saber o nome dele, mas tudo que tenho é a imagem dele travando uma briga no chão do aeroporto. Esse estranho extraordinário e a coragem manifesta de Wendy reforçaram a minha crença tanto na ética espontânea como na solidariedade política. Ao refletir sobre quem eram aquelas pessoas furiosas que nos acusaram de um conjunto caótico e sinistro de crimes sexuais, decidi escrever sobre o movimento contra a ideologia de gênero”.Trecho  “O mesmo argumento foi apresentado no Brasil de Bolsonaro, sob a alegação de que o gênero põe em dúvida o caráter natural e normativo da heterossexualidade, e que, uma vez que a ordem heterossexual deixar de ser sólida, uma enxurrada de perversidades sexuais, incluindo zoofilia e pedofilia, tomará a face da terra. As contradições são abundantes. Essa linha de pensamento – segundo a qual educar as crianças em relação ao “gênero” significa abuso infantil – se esquece, convenientemente, da longa e abominável história de abuso sexual de jovens por sacerdotes que depois são exonerados e protegidos pela Igreja. Acusar de abuso infantil quem leciona educação sexual é projetar os males cometidos pela Igreja sobre pessoas que estão tentando ensinar como o sexo funciona, por que o consentimento é importante e quais percursos existem tanto para o gênero como para a sexualidade. Essa externalização dos males é apenas um exemplo de como o fantasma do gênero atua.”","edition":"1","ISBN":"978-65-5717-334-3","language":"Português","number-of-pages":"280","publisher":"Boitempo Editorial","publisher-place":"São Paulo","source":"Amazon","title":"Quem tem Medo do Gênero?","author":[{"family":"Butler","given":"Judith"}],"issued":{"date-parts":[["2024",1,2]]}},"suppress-author":true}],"schema":"https://github.com/citation-style-language/schema/raw/master/csl-citation.json"} </w:instrText>
      </w:r>
      <w:r w:rsidRPr="00744B60">
        <w:rPr>
          <w:sz w:val="24"/>
          <w:szCs w:val="24"/>
          <w:lang w:val="pt-BR"/>
        </w:rPr>
        <w:fldChar w:fldCharType="separate"/>
      </w:r>
      <w:r w:rsidRPr="00DC10C6">
        <w:rPr>
          <w:sz w:val="24"/>
          <w:lang w:val="en-US"/>
        </w:rPr>
        <w:t>(2024)</w:t>
      </w:r>
      <w:r w:rsidRPr="00744B60">
        <w:rPr>
          <w:sz w:val="24"/>
          <w:szCs w:val="24"/>
          <w:lang w:val="pt-BR"/>
        </w:rPr>
        <w:fldChar w:fldCharType="end"/>
      </w:r>
      <w:r w:rsidRPr="00DC10C6">
        <w:rPr>
          <w:sz w:val="24"/>
          <w:szCs w:val="24"/>
          <w:lang w:val="en-US"/>
        </w:rPr>
        <w:t xml:space="preserve">, </w:t>
      </w:r>
      <w:proofErr w:type="spellStart"/>
      <w:r w:rsidRPr="00DC10C6">
        <w:rPr>
          <w:sz w:val="24"/>
          <w:szCs w:val="24"/>
          <w:lang w:val="en-US"/>
        </w:rPr>
        <w:t>em</w:t>
      </w:r>
      <w:proofErr w:type="spellEnd"/>
      <w:r w:rsidRPr="00DC10C6">
        <w:rPr>
          <w:sz w:val="24"/>
          <w:szCs w:val="24"/>
          <w:lang w:val="en-US"/>
        </w:rPr>
        <w:t xml:space="preserve"> </w:t>
      </w:r>
      <w:proofErr w:type="spellStart"/>
      <w:r w:rsidRPr="00DC10C6">
        <w:rPr>
          <w:i/>
          <w:iCs/>
          <w:sz w:val="24"/>
          <w:szCs w:val="24"/>
          <w:lang w:val="en-US"/>
        </w:rPr>
        <w:t>Quem</w:t>
      </w:r>
      <w:proofErr w:type="spellEnd"/>
      <w:r w:rsidRPr="00DC10C6">
        <w:rPr>
          <w:i/>
          <w:iCs/>
          <w:sz w:val="24"/>
          <w:szCs w:val="24"/>
          <w:lang w:val="en-US"/>
        </w:rPr>
        <w:t xml:space="preserve"> </w:t>
      </w:r>
      <w:proofErr w:type="spellStart"/>
      <w:r w:rsidRPr="00DC10C6">
        <w:rPr>
          <w:i/>
          <w:iCs/>
          <w:sz w:val="24"/>
          <w:szCs w:val="24"/>
          <w:lang w:val="en-US"/>
        </w:rPr>
        <w:t>tem</w:t>
      </w:r>
      <w:proofErr w:type="spellEnd"/>
      <w:r w:rsidRPr="00DC10C6">
        <w:rPr>
          <w:i/>
          <w:iCs/>
          <w:sz w:val="24"/>
          <w:szCs w:val="24"/>
          <w:lang w:val="en-US"/>
        </w:rPr>
        <w:t xml:space="preserve"> </w:t>
      </w:r>
      <w:proofErr w:type="spellStart"/>
      <w:r w:rsidRPr="00DC10C6">
        <w:rPr>
          <w:i/>
          <w:iCs/>
          <w:sz w:val="24"/>
          <w:szCs w:val="24"/>
          <w:lang w:val="en-US"/>
        </w:rPr>
        <w:t>medo</w:t>
      </w:r>
      <w:proofErr w:type="spellEnd"/>
      <w:r w:rsidRPr="00DC10C6">
        <w:rPr>
          <w:i/>
          <w:iCs/>
          <w:sz w:val="24"/>
          <w:szCs w:val="24"/>
          <w:lang w:val="en-US"/>
        </w:rPr>
        <w:t xml:space="preserve"> do </w:t>
      </w:r>
      <w:proofErr w:type="spellStart"/>
      <w:r w:rsidRPr="00DC10C6">
        <w:rPr>
          <w:i/>
          <w:iCs/>
          <w:sz w:val="24"/>
          <w:szCs w:val="24"/>
          <w:lang w:val="en-US"/>
        </w:rPr>
        <w:t>gênero</w:t>
      </w:r>
      <w:proofErr w:type="spellEnd"/>
      <w:r w:rsidRPr="00DC10C6">
        <w:rPr>
          <w:i/>
          <w:iCs/>
          <w:sz w:val="24"/>
          <w:szCs w:val="24"/>
          <w:lang w:val="en-US"/>
        </w:rPr>
        <w:t>?</w:t>
      </w:r>
      <w:r w:rsidRPr="00DC10C6">
        <w:rPr>
          <w:sz w:val="24"/>
          <w:szCs w:val="24"/>
          <w:lang w:val="en-US"/>
        </w:rPr>
        <w:t xml:space="preserve">, </w:t>
      </w:r>
      <w:proofErr w:type="spellStart"/>
      <w:r w:rsidRPr="00DC10C6">
        <w:rPr>
          <w:sz w:val="24"/>
          <w:szCs w:val="24"/>
          <w:lang w:val="en-US"/>
        </w:rPr>
        <w:t>demonstra</w:t>
      </w:r>
      <w:proofErr w:type="spellEnd"/>
      <w:r w:rsidRPr="00DC10C6">
        <w:rPr>
          <w:sz w:val="24"/>
          <w:szCs w:val="24"/>
          <w:lang w:val="en-US"/>
        </w:rPr>
        <w:t xml:space="preserve"> </w:t>
      </w:r>
      <w:proofErr w:type="spellStart"/>
      <w:r w:rsidRPr="00DC10C6">
        <w:rPr>
          <w:sz w:val="24"/>
          <w:szCs w:val="24"/>
          <w:lang w:val="en-US"/>
        </w:rPr>
        <w:t>como</w:t>
      </w:r>
      <w:proofErr w:type="spellEnd"/>
      <w:r w:rsidRPr="00DC10C6">
        <w:rPr>
          <w:sz w:val="24"/>
          <w:szCs w:val="24"/>
          <w:lang w:val="en-US"/>
        </w:rPr>
        <w:t xml:space="preserve"> o </w:t>
      </w:r>
      <w:proofErr w:type="spellStart"/>
      <w:r w:rsidRPr="00DC10C6">
        <w:rPr>
          <w:sz w:val="24"/>
          <w:szCs w:val="24"/>
          <w:lang w:val="en-US"/>
        </w:rPr>
        <w:t>termo</w:t>
      </w:r>
      <w:proofErr w:type="spellEnd"/>
      <w:r w:rsidRPr="00DC10C6">
        <w:rPr>
          <w:sz w:val="24"/>
          <w:szCs w:val="24"/>
          <w:lang w:val="en-US"/>
        </w:rPr>
        <w:t xml:space="preserve"> “</w:t>
      </w:r>
      <w:proofErr w:type="spellStart"/>
      <w:r w:rsidRPr="00DC10C6">
        <w:rPr>
          <w:sz w:val="24"/>
          <w:szCs w:val="24"/>
          <w:lang w:val="en-US"/>
        </w:rPr>
        <w:t>gênero</w:t>
      </w:r>
      <w:proofErr w:type="spellEnd"/>
      <w:r w:rsidRPr="00DC10C6">
        <w:rPr>
          <w:sz w:val="24"/>
          <w:szCs w:val="24"/>
          <w:lang w:val="en-US"/>
        </w:rPr>
        <w:t xml:space="preserve">” </w:t>
      </w:r>
      <w:proofErr w:type="spellStart"/>
      <w:r w:rsidRPr="00DC10C6">
        <w:rPr>
          <w:sz w:val="24"/>
          <w:szCs w:val="24"/>
          <w:lang w:val="en-US"/>
        </w:rPr>
        <w:t>foi</w:t>
      </w:r>
      <w:proofErr w:type="spellEnd"/>
      <w:r w:rsidRPr="00DC10C6">
        <w:rPr>
          <w:sz w:val="24"/>
          <w:szCs w:val="24"/>
          <w:lang w:val="en-US"/>
        </w:rPr>
        <w:t xml:space="preserve"> </w:t>
      </w:r>
      <w:proofErr w:type="spellStart"/>
      <w:r w:rsidRPr="00DC10C6">
        <w:rPr>
          <w:sz w:val="24"/>
          <w:szCs w:val="24"/>
          <w:lang w:val="en-US"/>
        </w:rPr>
        <w:t>convertido</w:t>
      </w:r>
      <w:proofErr w:type="spellEnd"/>
      <w:r w:rsidRPr="00DC10C6">
        <w:rPr>
          <w:sz w:val="24"/>
          <w:szCs w:val="24"/>
          <w:lang w:val="en-US"/>
        </w:rPr>
        <w:t xml:space="preserve"> </w:t>
      </w:r>
      <w:proofErr w:type="spellStart"/>
      <w:r w:rsidRPr="00DC10C6">
        <w:rPr>
          <w:sz w:val="24"/>
          <w:szCs w:val="24"/>
          <w:lang w:val="en-US"/>
        </w:rPr>
        <w:t>em</w:t>
      </w:r>
      <w:proofErr w:type="spellEnd"/>
      <w:r w:rsidRPr="00DC10C6">
        <w:rPr>
          <w:sz w:val="24"/>
          <w:szCs w:val="24"/>
          <w:lang w:val="en-US"/>
        </w:rPr>
        <w:t xml:space="preserve"> </w:t>
      </w:r>
      <w:proofErr w:type="spellStart"/>
      <w:r w:rsidRPr="00DC10C6">
        <w:rPr>
          <w:sz w:val="24"/>
          <w:szCs w:val="24"/>
          <w:lang w:val="en-US"/>
        </w:rPr>
        <w:t>operador</w:t>
      </w:r>
      <w:proofErr w:type="spellEnd"/>
      <w:r w:rsidRPr="00DC10C6">
        <w:rPr>
          <w:sz w:val="24"/>
          <w:szCs w:val="24"/>
          <w:lang w:val="en-US"/>
        </w:rPr>
        <w:t xml:space="preserve"> </w:t>
      </w:r>
      <w:proofErr w:type="spellStart"/>
      <w:r w:rsidRPr="00DC10C6">
        <w:rPr>
          <w:sz w:val="24"/>
          <w:szCs w:val="24"/>
          <w:lang w:val="en-US"/>
        </w:rPr>
        <w:t>fantasmático</w:t>
      </w:r>
      <w:proofErr w:type="spellEnd"/>
      <w:r w:rsidRPr="00DC10C6">
        <w:rPr>
          <w:sz w:val="24"/>
          <w:szCs w:val="24"/>
          <w:lang w:val="en-US"/>
        </w:rPr>
        <w:t xml:space="preserve"> </w:t>
      </w:r>
      <w:proofErr w:type="spellStart"/>
      <w:r w:rsidRPr="00DC10C6">
        <w:rPr>
          <w:sz w:val="24"/>
          <w:szCs w:val="24"/>
          <w:lang w:val="en-US"/>
        </w:rPr>
        <w:t>por</w:t>
      </w:r>
      <w:proofErr w:type="spellEnd"/>
      <w:r w:rsidRPr="00DC10C6">
        <w:rPr>
          <w:sz w:val="24"/>
          <w:szCs w:val="24"/>
          <w:lang w:val="en-US"/>
        </w:rPr>
        <w:t xml:space="preserve"> </w:t>
      </w:r>
      <w:proofErr w:type="spellStart"/>
      <w:r w:rsidRPr="00DC10C6">
        <w:rPr>
          <w:sz w:val="24"/>
          <w:szCs w:val="24"/>
          <w:lang w:val="en-US"/>
        </w:rPr>
        <w:t>movimentos</w:t>
      </w:r>
      <w:proofErr w:type="spellEnd"/>
      <w:r w:rsidRPr="00DC10C6">
        <w:rPr>
          <w:sz w:val="24"/>
          <w:szCs w:val="24"/>
          <w:lang w:val="en-US"/>
        </w:rPr>
        <w:t xml:space="preserve"> antigênero </w:t>
      </w:r>
      <w:proofErr w:type="spellStart"/>
      <w:r w:rsidRPr="00DC10C6">
        <w:rPr>
          <w:sz w:val="24"/>
          <w:szCs w:val="24"/>
          <w:lang w:val="en-US"/>
        </w:rPr>
        <w:t>globais</w:t>
      </w:r>
      <w:proofErr w:type="spellEnd"/>
      <w:r w:rsidRPr="00F0674D">
        <w:rPr>
          <w:sz w:val="24"/>
          <w:szCs w:val="24"/>
          <w:lang w:val="en-US"/>
        </w:rPr>
        <w:t xml:space="preserve">. </w:t>
      </w:r>
      <w:r w:rsidRPr="00F0674D">
        <w:rPr>
          <w:sz w:val="24"/>
          <w:szCs w:val="24"/>
          <w:lang w:val="pt-BR"/>
        </w:rPr>
        <w:t>Ele passa a funcionar como significante vazio capaz de condensar ansiedades morais e mobilizar projetos autoritários. O discurso da “proteção das mulheres baseada no sexo biológico”, quando descolado de uma crítica estrutural ao patriarcado e articulado como fronteira excludente, aproxima-se perigosamente dessa gramática reacionária.</w:t>
      </w:r>
    </w:p>
    <w:p w14:paraId="60BF2C8A" w14:textId="0A2C193F"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O paradoxo sociológico reside justamente nessa convergência: setores que se autodeclaram progressistas acabam por compartilhar léxico, enquadramentos e estratégias discursivas com movimentos que historicamente atacam direitos sexuais e reprodutivos. O policiamento de fronteiras identitárias, a centralidade do pânico </w:t>
      </w:r>
      <w:r w:rsidRPr="00F0674D">
        <w:rPr>
          <w:sz w:val="24"/>
          <w:szCs w:val="24"/>
          <w:lang w:val="pt-BR"/>
        </w:rPr>
        <w:lastRenderedPageBreak/>
        <w:t xml:space="preserve">moral e a obsessão classificatória tornam-se pontos de contato entre projetos aparentemente antagônicos. Nesse processo, a materialidade da violência que incide sobre corpos </w:t>
      </w:r>
      <w:r w:rsidR="001E7D3E">
        <w:rPr>
          <w:sz w:val="24"/>
          <w:szCs w:val="24"/>
          <w:lang w:val="pt-BR"/>
        </w:rPr>
        <w:t>dissidentes de gênero</w:t>
      </w:r>
      <w:r w:rsidRPr="00F0674D">
        <w:rPr>
          <w:sz w:val="24"/>
          <w:szCs w:val="24"/>
          <w:lang w:val="pt-BR"/>
        </w:rPr>
        <w:t xml:space="preserve"> </w:t>
      </w:r>
      <w:r w:rsidR="001E7D3E">
        <w:rPr>
          <w:sz w:val="24"/>
          <w:szCs w:val="24"/>
          <w:lang w:val="pt-BR"/>
        </w:rPr>
        <w:t>(</w:t>
      </w:r>
      <w:r w:rsidRPr="00F0674D">
        <w:rPr>
          <w:sz w:val="24"/>
          <w:szCs w:val="24"/>
          <w:lang w:val="pt-BR"/>
        </w:rPr>
        <w:t>especialmente no contexto brasileiro, marcado por índices persistentes de assassinatos e marginalização social</w:t>
      </w:r>
      <w:r w:rsidR="001E7D3E">
        <w:rPr>
          <w:sz w:val="24"/>
          <w:szCs w:val="24"/>
          <w:lang w:val="pt-BR"/>
        </w:rPr>
        <w:t>)</w:t>
      </w:r>
      <w:r w:rsidRPr="00F0674D">
        <w:rPr>
          <w:sz w:val="24"/>
          <w:szCs w:val="24"/>
          <w:lang w:val="pt-BR"/>
        </w:rPr>
        <w:t xml:space="preserve"> é secundarizada em nome da preservação de uma identidade concebida como estável e pura.</w:t>
      </w:r>
    </w:p>
    <w:p w14:paraId="211C9642" w14:textId="707DD4D4" w:rsidR="00F0674D" w:rsidRPr="00F0674D" w:rsidRDefault="00F0674D" w:rsidP="00F0674D">
      <w:pPr>
        <w:spacing w:line="360" w:lineRule="auto"/>
        <w:ind w:firstLine="720"/>
        <w:jc w:val="both"/>
        <w:rPr>
          <w:sz w:val="24"/>
          <w:szCs w:val="24"/>
          <w:lang w:val="pt-BR"/>
        </w:rPr>
      </w:pPr>
      <w:r w:rsidRPr="00F0674D">
        <w:rPr>
          <w:sz w:val="24"/>
          <w:szCs w:val="24"/>
          <w:lang w:val="pt-BR"/>
        </w:rPr>
        <w:t>Assim, o cis-separatismo não pode ser reduzido a divergência interna episódica no campo feminista. Ele constitui expressão contemporânea de uma longa tradição de gestão hierárquica das diferenças corporais e sexuais. Sua força não reside apenas na retórica da proteção, mas na capacidade de mobilizar dispositivos históricos de classificação, colonialidade e normatização. Compreender sua genealogia é passo indispensável para desnaturalizar suas premissas e recolocar no centro do debate a questão fundamental: quem tem o poder de definir os contornos da humanidade reconhecida e a que custo essa definição é sustentada.</w:t>
      </w:r>
    </w:p>
    <w:p w14:paraId="64C7DEB8" w14:textId="77777777" w:rsidR="002F66F0" w:rsidRDefault="002F66F0" w:rsidP="002F66F0">
      <w:pPr>
        <w:spacing w:line="360" w:lineRule="auto"/>
        <w:jc w:val="both"/>
        <w:rPr>
          <w:sz w:val="24"/>
          <w:szCs w:val="24"/>
          <w:lang w:val="pt-BR"/>
        </w:rPr>
      </w:pPr>
    </w:p>
    <w:p w14:paraId="3D447235" w14:textId="19669D62" w:rsidR="002F66F0" w:rsidRPr="002F66F0" w:rsidRDefault="00200E88" w:rsidP="002F66F0">
      <w:pPr>
        <w:spacing w:line="360" w:lineRule="auto"/>
        <w:rPr>
          <w:b/>
          <w:bCs/>
          <w:sz w:val="24"/>
          <w:szCs w:val="24"/>
          <w:lang w:val="pt-BR"/>
        </w:rPr>
      </w:pPr>
      <w:r w:rsidRPr="002F66F0">
        <w:rPr>
          <w:b/>
          <w:bCs/>
          <w:sz w:val="24"/>
          <w:szCs w:val="24"/>
          <w:lang w:val="pt-BR"/>
        </w:rPr>
        <w:t xml:space="preserve">3 PÂNICO </w:t>
      </w:r>
      <w:r>
        <w:rPr>
          <w:b/>
          <w:bCs/>
          <w:sz w:val="24"/>
          <w:szCs w:val="24"/>
          <w:lang w:val="pt-BR"/>
        </w:rPr>
        <w:t>M</w:t>
      </w:r>
      <w:r w:rsidRPr="002F66F0">
        <w:rPr>
          <w:b/>
          <w:bCs/>
          <w:sz w:val="24"/>
          <w:szCs w:val="24"/>
          <w:lang w:val="pt-BR"/>
        </w:rPr>
        <w:t xml:space="preserve">ORAL E A </w:t>
      </w:r>
      <w:r>
        <w:rPr>
          <w:b/>
          <w:bCs/>
          <w:sz w:val="24"/>
          <w:szCs w:val="24"/>
          <w:lang w:val="pt-BR"/>
        </w:rPr>
        <w:t>E</w:t>
      </w:r>
      <w:r w:rsidRPr="002F66F0">
        <w:rPr>
          <w:b/>
          <w:bCs/>
          <w:sz w:val="24"/>
          <w:szCs w:val="24"/>
          <w:lang w:val="pt-BR"/>
        </w:rPr>
        <w:t xml:space="preserve">SPACIALIZAÇÃO DA </w:t>
      </w:r>
      <w:r>
        <w:rPr>
          <w:b/>
          <w:bCs/>
          <w:sz w:val="24"/>
          <w:szCs w:val="24"/>
          <w:lang w:val="pt-BR"/>
        </w:rPr>
        <w:t>E</w:t>
      </w:r>
      <w:r w:rsidRPr="002F66F0">
        <w:rPr>
          <w:b/>
          <w:bCs/>
          <w:sz w:val="24"/>
          <w:szCs w:val="24"/>
          <w:lang w:val="pt-BR"/>
        </w:rPr>
        <w:t xml:space="preserve">XCLUSÃO: </w:t>
      </w:r>
      <w:r>
        <w:rPr>
          <w:b/>
          <w:bCs/>
          <w:sz w:val="24"/>
          <w:szCs w:val="24"/>
          <w:lang w:val="pt-BR"/>
        </w:rPr>
        <w:t>C</w:t>
      </w:r>
      <w:r w:rsidRPr="002F66F0">
        <w:rPr>
          <w:b/>
          <w:bCs/>
          <w:sz w:val="24"/>
          <w:szCs w:val="24"/>
          <w:lang w:val="pt-BR"/>
        </w:rPr>
        <w:t xml:space="preserve">ONTROLE SOBRE OS </w:t>
      </w:r>
      <w:r>
        <w:rPr>
          <w:b/>
          <w:bCs/>
          <w:sz w:val="24"/>
          <w:szCs w:val="24"/>
          <w:lang w:val="pt-BR"/>
        </w:rPr>
        <w:t>R</w:t>
      </w:r>
      <w:r w:rsidRPr="002F66F0">
        <w:rPr>
          <w:b/>
          <w:bCs/>
          <w:sz w:val="24"/>
          <w:szCs w:val="24"/>
          <w:lang w:val="pt-BR"/>
        </w:rPr>
        <w:t xml:space="preserve">EGIMES DE </w:t>
      </w:r>
      <w:r>
        <w:rPr>
          <w:b/>
          <w:bCs/>
          <w:sz w:val="24"/>
          <w:szCs w:val="24"/>
          <w:lang w:val="pt-BR"/>
        </w:rPr>
        <w:t>V</w:t>
      </w:r>
      <w:r w:rsidRPr="002F66F0">
        <w:rPr>
          <w:b/>
          <w:bCs/>
          <w:sz w:val="24"/>
          <w:szCs w:val="24"/>
          <w:lang w:val="pt-BR"/>
        </w:rPr>
        <w:t>ISIBILIDADE</w:t>
      </w:r>
    </w:p>
    <w:p w14:paraId="7E46C113" w14:textId="5FE711E9"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Se a genealogia do cis-separatismo evidencia uma disputa pela gramática identitária e pelo monopólio da categoria “mulher”, é na organização concreta do espaço social que essa controvérsia adquire materialidade e produz seus efeitos mais tangíveis. A passagem do plano discursivo ao plano espacial </w:t>
      </w:r>
      <w:r w:rsidR="00767CBF">
        <w:rPr>
          <w:sz w:val="24"/>
          <w:szCs w:val="24"/>
          <w:lang w:val="pt-BR"/>
        </w:rPr>
        <w:t>–</w:t>
      </w:r>
      <w:r w:rsidRPr="00F0674D">
        <w:rPr>
          <w:sz w:val="24"/>
          <w:szCs w:val="24"/>
          <w:lang w:val="pt-BR"/>
        </w:rPr>
        <w:t xml:space="preserve"> isto é, da definição abstrata de pertencimento à regulação concreta de presenças </w:t>
      </w:r>
      <w:r w:rsidR="00767CBF">
        <w:rPr>
          <w:sz w:val="24"/>
          <w:szCs w:val="24"/>
          <w:lang w:val="pt-BR"/>
        </w:rPr>
        <w:t>–</w:t>
      </w:r>
      <w:r w:rsidRPr="00F0674D">
        <w:rPr>
          <w:sz w:val="24"/>
          <w:szCs w:val="24"/>
          <w:lang w:val="pt-BR"/>
        </w:rPr>
        <w:t xml:space="preserve"> revela que estamos diante de um conflito acerca dos regimes de visibilidade e das condições de circulação de determinados corpos. O que está em jogo não é apenas quem pode nomear-se mulher, mas quem pode ocupar banheiros, escolas, parlamentos, ambientes de trabalho</w:t>
      </w:r>
      <w:r w:rsidR="00744B60">
        <w:rPr>
          <w:sz w:val="24"/>
          <w:szCs w:val="24"/>
          <w:lang w:val="pt-BR"/>
        </w:rPr>
        <w:t>, vagas em universidades</w:t>
      </w:r>
      <w:r w:rsidRPr="00F0674D">
        <w:rPr>
          <w:sz w:val="24"/>
          <w:szCs w:val="24"/>
          <w:lang w:val="pt-BR"/>
        </w:rPr>
        <w:t xml:space="preserve"> e ruas sem ter sua existência convertida em problema público.</w:t>
      </w:r>
    </w:p>
    <w:p w14:paraId="7B69E46B" w14:textId="01E856FC"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Para compreender essa transposição das fronteiras simbólicas para fronteiras físicas, é produtivo recorrer ao conceito clássico de pânico moral formulado por Stanley Cohen </w:t>
      </w:r>
      <w:r>
        <w:rPr>
          <w:sz w:val="24"/>
          <w:szCs w:val="24"/>
          <w:lang w:val="pt-BR"/>
        </w:rPr>
        <w:fldChar w:fldCharType="begin"/>
      </w:r>
      <w:r>
        <w:rPr>
          <w:sz w:val="24"/>
          <w:szCs w:val="24"/>
          <w:lang w:val="pt-BR"/>
        </w:rPr>
        <w:instrText xml:space="preserve"> ADDIN ZOTERO_ITEM CSL_CITATION {"citationID":"zp4dXYgz","properties":{"formattedCitation":"(2011)","plainCitation":"(2011)","noteIndex":0},"citationItems":[{"id":1048,"uris":["http://zotero.org/users/13909333/items/ADNACJ7X"],"itemData":{"id":1048,"type":"book","abstract":"'Richly documented and convincingly presented' -- New Society  Mods and Rockers, skinheads, video nasties, designer drugs, bogus asylum seeks and hoodies. Every era has its own moral panics. It was Stanley Cohen's classic account, first published in the early 1970s and regularly revised, that brought the term 'moral panic' into widespread discussion. It is an outstanding investigation of the way in which the media and often those in a position of political power define a condition, or group, as a threat to societal values and interests. Fanned by screaming media headlines, Cohen brilliantly demonstrates how this leads to such groups being marginalised and vilified in the popular imagination, inhibiting rational debate about solutions to the social problems such groups represent. Furthermore, he argues that moral panics go even further by identifying the very fault lines of power in society.  Full of sharp insight and analysis, Folk Devils and Moral Panics is essential reading for anyone wanting to understand this powerful and enduring phenomenon.   Professor Stanley Cohen is Emeritus Professor of Sociology at the London School of Economics. He received the Sellin-Glueck Award of the American Society of Criminology (1985) and is on the Board of the International Council on Human Rights. He is a member of the British Academy.","edition":"1","ISBN":"978-0-415-61016-2","language":"Inglês","number-of-pages":"330","publisher":"Taylor &amp; Francis Ltd","publisher-place":"Abingdon, Oxon ; New York","source":"Amazon","title":"Folk Devils and Moral Panics: The Creation of the Mods and Rockers","title-short":"Folk Devils and Moral Panics","author":[{"family":"Cohen","given":"Stanley"}],"issued":{"date-parts":[["2011"]]}},"suppress-author":true}],"schema":"https://github.com/citation-style-language/schema/raw/master/csl-citation.json"} </w:instrText>
      </w:r>
      <w:r>
        <w:rPr>
          <w:sz w:val="24"/>
          <w:szCs w:val="24"/>
          <w:lang w:val="pt-BR"/>
        </w:rPr>
        <w:fldChar w:fldCharType="separate"/>
      </w:r>
      <w:r w:rsidRPr="00F0674D">
        <w:rPr>
          <w:sz w:val="24"/>
        </w:rPr>
        <w:t>(2011)</w:t>
      </w:r>
      <w:r>
        <w:rPr>
          <w:sz w:val="24"/>
          <w:szCs w:val="24"/>
          <w:lang w:val="pt-BR"/>
        </w:rPr>
        <w:fldChar w:fldCharType="end"/>
      </w:r>
      <w:r w:rsidRPr="00F0674D">
        <w:rPr>
          <w:sz w:val="24"/>
          <w:szCs w:val="24"/>
          <w:lang w:val="pt-BR"/>
        </w:rPr>
        <w:t xml:space="preserve">. O pânico moral não consiste em medo difuso ou irracional; trata-se de um processo socialmente construído, no qual determinados grupos são transformados em </w:t>
      </w:r>
      <w:r w:rsidRPr="00F0674D">
        <w:rPr>
          <w:i/>
          <w:iCs/>
          <w:sz w:val="24"/>
          <w:szCs w:val="24"/>
          <w:lang w:val="pt-BR"/>
        </w:rPr>
        <w:t xml:space="preserve">“folk </w:t>
      </w:r>
      <w:proofErr w:type="spellStart"/>
      <w:r w:rsidRPr="00F0674D">
        <w:rPr>
          <w:i/>
          <w:iCs/>
          <w:sz w:val="24"/>
          <w:szCs w:val="24"/>
          <w:lang w:val="pt-BR"/>
        </w:rPr>
        <w:t>devils</w:t>
      </w:r>
      <w:proofErr w:type="spellEnd"/>
      <w:r w:rsidRPr="00F0674D">
        <w:rPr>
          <w:i/>
          <w:iCs/>
          <w:sz w:val="24"/>
          <w:szCs w:val="24"/>
          <w:lang w:val="pt-BR"/>
        </w:rPr>
        <w:t>”</w:t>
      </w:r>
      <w:r w:rsidRPr="00F0674D">
        <w:rPr>
          <w:sz w:val="24"/>
          <w:szCs w:val="24"/>
          <w:lang w:val="pt-BR"/>
        </w:rPr>
        <w:t xml:space="preserve"> </w:t>
      </w:r>
      <w:r w:rsidR="00744B60">
        <w:rPr>
          <w:sz w:val="24"/>
          <w:szCs w:val="24"/>
          <w:lang w:val="pt-BR"/>
        </w:rPr>
        <w:t>(</w:t>
      </w:r>
      <w:r w:rsidRPr="00F0674D">
        <w:rPr>
          <w:sz w:val="24"/>
          <w:szCs w:val="24"/>
          <w:lang w:val="pt-BR"/>
        </w:rPr>
        <w:t>figuras ameaçadoras que condensam ansiedades coletivas e justificam respostas repressivas</w:t>
      </w:r>
      <w:r w:rsidR="00744B60">
        <w:rPr>
          <w:sz w:val="24"/>
          <w:szCs w:val="24"/>
          <w:lang w:val="pt-BR"/>
        </w:rPr>
        <w:t>)</w:t>
      </w:r>
      <w:r w:rsidRPr="00F0674D">
        <w:rPr>
          <w:sz w:val="24"/>
          <w:szCs w:val="24"/>
          <w:lang w:val="pt-BR"/>
        </w:rPr>
        <w:t>. A fabricação dessa ameaça envolve atores institucionais, mídia, lideranças políticas</w:t>
      </w:r>
      <w:r w:rsidR="00744B60">
        <w:rPr>
          <w:sz w:val="24"/>
          <w:szCs w:val="24"/>
          <w:lang w:val="pt-BR"/>
        </w:rPr>
        <w:t xml:space="preserve"> e religiosas</w:t>
      </w:r>
      <w:r w:rsidRPr="00F0674D">
        <w:rPr>
          <w:sz w:val="24"/>
          <w:szCs w:val="24"/>
          <w:lang w:val="pt-BR"/>
        </w:rPr>
        <w:t xml:space="preserve"> e dispositivos jurídicos </w:t>
      </w:r>
      <w:r w:rsidRPr="00F0674D">
        <w:rPr>
          <w:sz w:val="24"/>
          <w:szCs w:val="24"/>
          <w:lang w:val="pt-BR"/>
        </w:rPr>
        <w:lastRenderedPageBreak/>
        <w:t>que amplificam narrativas de risco. No contexto contemporâneo, a retórica da “proteção” opera como motor central dessa engrenagem: mulheres cisgêneras e crianças são mobilizadas como sujeitos vulneráveis cuja segurança estaria supostamente em perigo diante da presença trans</w:t>
      </w:r>
      <w:r w:rsidR="00744B60">
        <w:rPr>
          <w:sz w:val="24"/>
          <w:szCs w:val="24"/>
          <w:lang w:val="pt-BR"/>
        </w:rPr>
        <w:t xml:space="preserve"> e travesti</w:t>
      </w:r>
      <w:r w:rsidRPr="00F0674D">
        <w:rPr>
          <w:sz w:val="24"/>
          <w:szCs w:val="24"/>
          <w:lang w:val="pt-BR"/>
        </w:rPr>
        <w:t xml:space="preserve"> em determinados espaços.</w:t>
      </w:r>
    </w:p>
    <w:p w14:paraId="286CDA14" w14:textId="77777777" w:rsidR="00F0674D" w:rsidRPr="00F0674D" w:rsidRDefault="00F0674D" w:rsidP="00F0674D">
      <w:pPr>
        <w:spacing w:line="360" w:lineRule="auto"/>
        <w:ind w:firstLine="720"/>
        <w:jc w:val="both"/>
        <w:rPr>
          <w:sz w:val="24"/>
          <w:szCs w:val="24"/>
          <w:lang w:val="pt-BR"/>
        </w:rPr>
      </w:pPr>
      <w:r w:rsidRPr="00F0674D">
        <w:rPr>
          <w:sz w:val="24"/>
          <w:szCs w:val="24"/>
          <w:lang w:val="pt-BR"/>
        </w:rPr>
        <w:t>Esse enquadramento produz um deslocamento significativo: a existência trans deixa de ser compreendida como expressão legítima de diversidade e passa a ser narrada como fator de desordem. A fronteira moral torna-se fronteira arquitetônica, jurídica e administrativa. Em vez de discutir desigualdades estruturais, transfere-se o foco para a vigilância de corpos específicos.</w:t>
      </w:r>
    </w:p>
    <w:p w14:paraId="02738782" w14:textId="77777777" w:rsidR="00085A3C" w:rsidRPr="00085A3C" w:rsidRDefault="00F0674D" w:rsidP="00085A3C">
      <w:pPr>
        <w:spacing w:line="360" w:lineRule="auto"/>
        <w:ind w:firstLine="720"/>
        <w:jc w:val="both"/>
      </w:pPr>
      <w:r w:rsidRPr="00F0674D">
        <w:rPr>
          <w:sz w:val="24"/>
          <w:szCs w:val="24"/>
          <w:lang w:val="pt-BR"/>
        </w:rPr>
        <w:t xml:space="preserve">A análise de Butler </w:t>
      </w:r>
      <w:r>
        <w:rPr>
          <w:sz w:val="24"/>
          <w:szCs w:val="24"/>
          <w:lang w:val="pt-BR"/>
        </w:rPr>
        <w:fldChar w:fldCharType="begin"/>
      </w:r>
      <w:r>
        <w:rPr>
          <w:sz w:val="24"/>
          <w:szCs w:val="24"/>
          <w:lang w:val="pt-BR"/>
        </w:rPr>
        <w:instrText xml:space="preserve"> ADDIN ZOTERO_ITEM CSL_CITATION {"citationID":"TJJ2UpIT","properties":{"formattedCitation":"(2024)","plainCitation":"(2024)","noteIndex":0},"citationItems":[{"id":1046,"uris":["http://zotero.org/users/13909333/items/F34ZG8RA"],"itemData":{"id":1046,"type":"book","abstract":"Neste seu primeiro livro não acadêmico, Judith Butler analisa como o “gênero” se tornou central em discursos conservadores e reacionários, um fantasma com o objetivo de criar pânico moral e angariar apoio popular a projetos políticos fascistas, autoritários e excludentes.  Intervenção essencial em uma das questões mais inflamadas da atualidade, Quem tem medo do gênero? é uma convocatória arrojada a construir uma coalizão ampla contra as novas formas do fascismo. “É crucial que a política de gênero se oponha ao neoliberalismo e a outras formas de devastação capitalista e não se torne seu instrumento”, insiste Butler.  Em tempos sombrios, Butler nos oferece uma obra esperançosa de análise social e política. Ao abordar uma ampla variedade de temas – das feministas radicais transexcludentes ao novo populismo de direita, passando pelos ataques aos direitos reprodutivos, a dicotomia natureza/cultura, o debate sobre atletas trans e os legados colonial e racial do dimorfismo de gênero, entre outros –, o livro articula um robusto esforço emancipatório de imaginar novas possibilidades de liberdade e solidariedade.  O conservadorismo no Brasil, crescente nos últimos anos, é um dos objetos de análise da obra. Butler conta que o livro começou a ser desenvolvido em 2017, após sua visita ao Brasil, onde foi barbaramente hostilizada por manifestantes “antigênero”: “No aeroporto de São Paulo, minha parceira, Wendy Brown, e eu, fomos confrontadas por pessoas que nos ameaçaram de agressão física. Agradeço ao jovem da mochila que jogou o corpo entre mim e um agressor, recebendo os golpes que me eram dirigidos. Gostaria de saber o nome dele, mas tudo que tenho é a imagem dele travando uma briga no chão do aeroporto. Esse estranho extraordinário e a coragem manifesta de Wendy reforçaram a minha crença tanto na ética espontânea como na solidariedade política. Ao refletir sobre quem eram aquelas pessoas furiosas que nos acusaram de um conjunto caótico e sinistro de crimes sexuais, decidi escrever sobre o movimento contra a ideologia de gênero”.Trecho  “O mesmo argumento foi apresentado no Brasil de Bolsonaro, sob a alegação de que o gênero põe em dúvida o caráter natural e normativo da heterossexualidade, e que, uma vez que a ordem heterossexual deixar de ser sólida, uma enxurrada de perversidades sexuais, incluindo zoofilia e pedofilia, tomará a face da terra. As contradições são abundantes. Essa linha de pensamento – segundo a qual educar as crianças em relação ao “gênero” significa abuso infantil – se esquece, convenientemente, da longa e abominável história de abuso sexual de jovens por sacerdotes que depois são exonerados e protegidos pela Igreja. Acusar de abuso infantil quem leciona educação sexual é projetar os males cometidos pela Igreja sobre pessoas que estão tentando ensinar como o sexo funciona, por que o consentimento é importante e quais percursos existem tanto para o gênero como para a sexualidade. Essa externalização dos males é apenas um exemplo de como o fantasma do gênero atua.”","edition":"1","ISBN":"978-65-5717-334-3","language":"Português","number-of-pages":"280","publisher":"Boitempo Editorial","publisher-place":"São Paulo","source":"Amazon","title":"Quem tem Medo do Gênero?","author":[{"family":"Butler","given":"Judith"}],"issued":{"date-parts":[["2024",1,2]]}},"suppress-author":true}],"schema":"https://github.com/citation-style-language/schema/raw/master/csl-citation.json"} </w:instrText>
      </w:r>
      <w:r>
        <w:rPr>
          <w:sz w:val="24"/>
          <w:szCs w:val="24"/>
          <w:lang w:val="pt-BR"/>
        </w:rPr>
        <w:fldChar w:fldCharType="separate"/>
      </w:r>
      <w:r w:rsidRPr="00F0674D">
        <w:rPr>
          <w:sz w:val="24"/>
        </w:rPr>
        <w:t>(2024)</w:t>
      </w:r>
      <w:r>
        <w:rPr>
          <w:sz w:val="24"/>
          <w:szCs w:val="24"/>
          <w:lang w:val="pt-BR"/>
        </w:rPr>
        <w:fldChar w:fldCharType="end"/>
      </w:r>
      <w:r>
        <w:rPr>
          <w:sz w:val="24"/>
          <w:szCs w:val="24"/>
          <w:lang w:val="pt-BR"/>
        </w:rPr>
        <w:t xml:space="preserve"> </w:t>
      </w:r>
      <w:r w:rsidR="00085A3C" w:rsidRPr="00085A3C">
        <w:rPr>
          <w:sz w:val="24"/>
          <w:szCs w:val="24"/>
        </w:rPr>
        <w:t>é decisiva para compreender essa dinâmica. A autora argumenta que, nos embates contemporâneos, “gênero” passa a funcionar como um significante agregador de ansiedades morais e políticas, mobilizado para condensar temores difusos acerca da família, da infância e da ordem social. Nessa chave, o discurso cis-separatista, ao sustentar que a presença de uma mulher trans em espaços destinados a mulheres implica risco iminente ou apagamento ontológico, reinscreve-se na mesma economia simbólica do perigo. Ainda que se apresente como progressista, termina por compartilhar o léxico do medo e a estrutura narrativa da ameaça.</w:t>
      </w:r>
    </w:p>
    <w:p w14:paraId="07B47C0A" w14:textId="429CCACD"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Essa engrenagem afetiva pode ser analisada à luz da “política cultural das emoções” proposta por Sara Ahmed </w:t>
      </w:r>
      <w:r>
        <w:rPr>
          <w:sz w:val="24"/>
          <w:szCs w:val="24"/>
          <w:lang w:val="pt-BR"/>
        </w:rPr>
        <w:fldChar w:fldCharType="begin"/>
      </w:r>
      <w:r>
        <w:rPr>
          <w:sz w:val="24"/>
          <w:szCs w:val="24"/>
          <w:lang w:val="pt-BR"/>
        </w:rPr>
        <w:instrText xml:space="preserve"> ADDIN ZOTERO_ITEM CSL_CITATION {"citationID":"vCraIPml","properties":{"formattedCitation":"(2014)","plainCitation":"(2014)","noteIndex":0},"citationItems":[{"id":1042,"uris":["http://zotero.org/users/13909333/items/BAGFHDA2"],"itemData":{"id":1042,"type":"book","abstract":"This book examines how emotions are crucial to politics. Emotions work to define who we are as well as shape what we do. With reference to topical issues, the book suggests that emotions circulate within public culture, as well as shape our encounters with others in everyday life.","edition":"1","ISBN":"978-0-7486-9115-9","language":"Inglês","number-of-pages":"266","publisher":"EUP","publisher-place":"Edinburgh","source":"Amazon","title":"Cultural Politics of Emotion","author":[{"family":"Ahmed","given":"Sara"}],"issued":{"date-parts":[["2014"]]}},"suppress-author":true}],"schema":"https://github.com/citation-style-language/schema/raw/master/csl-citation.json"} </w:instrText>
      </w:r>
      <w:r>
        <w:rPr>
          <w:sz w:val="24"/>
          <w:szCs w:val="24"/>
          <w:lang w:val="pt-BR"/>
        </w:rPr>
        <w:fldChar w:fldCharType="separate"/>
      </w:r>
      <w:r w:rsidRPr="00F0674D">
        <w:rPr>
          <w:sz w:val="24"/>
        </w:rPr>
        <w:t>(2014)</w:t>
      </w:r>
      <w:r>
        <w:rPr>
          <w:sz w:val="24"/>
          <w:szCs w:val="24"/>
          <w:lang w:val="pt-BR"/>
        </w:rPr>
        <w:fldChar w:fldCharType="end"/>
      </w:r>
      <w:r w:rsidRPr="00F0674D">
        <w:rPr>
          <w:sz w:val="24"/>
          <w:szCs w:val="24"/>
          <w:lang w:val="pt-BR"/>
        </w:rPr>
        <w:t xml:space="preserve">. Para </w:t>
      </w:r>
      <w:r w:rsidR="00085A3C">
        <w:rPr>
          <w:sz w:val="24"/>
          <w:szCs w:val="24"/>
          <w:lang w:val="pt-BR"/>
        </w:rPr>
        <w:t>a teórica feminista</w:t>
      </w:r>
      <w:r w:rsidRPr="00F0674D">
        <w:rPr>
          <w:sz w:val="24"/>
          <w:szCs w:val="24"/>
          <w:lang w:val="pt-BR"/>
        </w:rPr>
        <w:t>, emoções não são estados privados, mas forças circulatórias que alinham corpos e coletividades. O medo, quando reiteradamente associado a uma figura social, fixa essa figura como objeto legítimo de suspeição. No caso em questão, a imagem da mulher trans como “invasora” ou “predadora potencial” não emerge de evidências empíricas robustas, mas de uma economia afetiva que sedimenta associações e produz coesão entre sujeitos hegemônicos. O efeito é a cristalização de um “sujeito de risco” fabricado, cuja humanidade é obscurecida pela narrativa da ameaça.</w:t>
      </w:r>
    </w:p>
    <w:p w14:paraId="320746E7" w14:textId="68BF2B4C"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Essa contenção espacial não é difusa; ela se ancora em um regime normativo específico. Conforme argumenta Vergueiro </w:t>
      </w:r>
      <w:r w:rsidRPr="0080590B">
        <w:rPr>
          <w:sz w:val="24"/>
          <w:szCs w:val="24"/>
          <w:lang w:val="pt-BR"/>
        </w:rPr>
        <w:fldChar w:fldCharType="begin"/>
      </w:r>
      <w:r w:rsidRPr="0080590B">
        <w:rPr>
          <w:sz w:val="24"/>
          <w:szCs w:val="24"/>
          <w:lang w:val="pt-BR"/>
        </w:rPr>
        <w:instrText xml:space="preserve"> ADDIN ZOTERO_ITEM CSL_CITATION {"citationID":"5FHt6BGw","properties":{"formattedCitation":"(2024)","plainCitation":"(2024)","noteIndex":0},"citationItems":[{"id":1040,"uris":["http://zotero.org/users/13909333/items/3QR5H5RX"],"itemData":{"id":1040,"type":"book","abstract":"POR INFLEXÕES DE COLONIAIS DE CORPOS E IDENTIDADES","edition":"1","ISBN":"978-65-5630-541-7","language":"Português","number-of-pages":"732","publisher":"Editora da UFBA","publisher-place":"Salvador","source":"Amazon","title":"Por inflexões decoloniais de corpos e identidades de gênero inconformes: uma análise autoetnográfica da cisgeneridade como normatividade","author":[{"family":"Vergueiro","given":"Viviane"}],"issued":{"date-parts":[["2024"]]}},"suppress-author":true}],"schema":"https://github.com/citation-style-language/schema/raw/master/csl-citation.json"} </w:instrText>
      </w:r>
      <w:r w:rsidRPr="0080590B">
        <w:rPr>
          <w:sz w:val="24"/>
          <w:szCs w:val="24"/>
          <w:lang w:val="pt-BR"/>
        </w:rPr>
        <w:fldChar w:fldCharType="separate"/>
      </w:r>
      <w:r w:rsidRPr="0080590B">
        <w:rPr>
          <w:sz w:val="24"/>
        </w:rPr>
        <w:t>(2024)</w:t>
      </w:r>
      <w:r w:rsidRPr="0080590B">
        <w:rPr>
          <w:sz w:val="24"/>
          <w:szCs w:val="24"/>
          <w:lang w:val="pt-BR"/>
        </w:rPr>
        <w:fldChar w:fldCharType="end"/>
      </w:r>
      <w:r w:rsidRPr="00F0674D">
        <w:rPr>
          <w:sz w:val="24"/>
          <w:szCs w:val="24"/>
          <w:lang w:val="pt-BR"/>
        </w:rPr>
        <w:t xml:space="preserve">, a cisnormatividade constitui uma tecnologia de poder que distribui legitimidade, inteligibilidade e conforto no espaço social. Corpos cisgêneros usufruem da invisibilidade normativa: sua presença não precisa ser justificada, explicada ou defendida. Corpos </w:t>
      </w:r>
      <w:r w:rsidR="0080590B">
        <w:rPr>
          <w:sz w:val="24"/>
          <w:szCs w:val="24"/>
          <w:lang w:val="pt-BR"/>
        </w:rPr>
        <w:t>dissidentes de gênero</w:t>
      </w:r>
      <w:r w:rsidRPr="00F0674D">
        <w:rPr>
          <w:sz w:val="24"/>
          <w:szCs w:val="24"/>
          <w:lang w:val="pt-BR"/>
        </w:rPr>
        <w:t xml:space="preserve">, ao </w:t>
      </w:r>
      <w:r w:rsidRPr="00F0674D">
        <w:rPr>
          <w:sz w:val="24"/>
          <w:szCs w:val="24"/>
          <w:lang w:val="pt-BR"/>
        </w:rPr>
        <w:lastRenderedPageBreak/>
        <w:t>contrário, são submetidos a um regime de hipervisibilidade punitiva, no qual cada deslocamento pode ser interrogado e contestado. A gestão do espaço torna-se, assim, uma forma de gestão da própria condição de sujeito.</w:t>
      </w:r>
    </w:p>
    <w:p w14:paraId="5C37D964" w14:textId="3B4FF7F0"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Bento </w:t>
      </w:r>
      <w:r>
        <w:rPr>
          <w:sz w:val="24"/>
          <w:szCs w:val="24"/>
          <w:lang w:val="pt-BR"/>
        </w:rPr>
        <w:fldChar w:fldCharType="begin"/>
      </w:r>
      <w:r>
        <w:rPr>
          <w:sz w:val="24"/>
          <w:szCs w:val="24"/>
          <w:lang w:val="pt-BR"/>
        </w:rPr>
        <w:instrText xml:space="preserve"> ADDIN ZOTERO_ITEM CSL_CITATION {"citationID":"TCql0I97","properties":{"formattedCitation":"(2017)","plainCitation":"(2017)","noteIndex":0},"citationItems":[{"id":108,"uris":["http://zotero.org/users/13909333/items/A5WEFBZG"],"itemData":{"id":108,"type":"book","ISBN":"978-85-93646-07-2","language":"pt-BR","publisher":"Editora Devires","source":"Câmara Brasileira do Livro ISBN","title":"A reinvenção do corpo: sexualidade e gênero na experiência transexual","title-short":"A reinvenção do corpo","author":[{"family":"Bento","given":"Berenice"}],"issued":{"date-parts":[["2017",12,15]]}},"suppress-author":true}],"schema":"https://github.com/citation-style-language/schema/raw/master/csl-citation.json"} </w:instrText>
      </w:r>
      <w:r>
        <w:rPr>
          <w:sz w:val="24"/>
          <w:szCs w:val="24"/>
          <w:lang w:val="pt-BR"/>
        </w:rPr>
        <w:fldChar w:fldCharType="separate"/>
      </w:r>
      <w:r w:rsidRPr="00F0674D">
        <w:rPr>
          <w:sz w:val="24"/>
        </w:rPr>
        <w:t>(2017)</w:t>
      </w:r>
      <w:r>
        <w:rPr>
          <w:sz w:val="24"/>
          <w:szCs w:val="24"/>
          <w:lang w:val="pt-BR"/>
        </w:rPr>
        <w:fldChar w:fldCharType="end"/>
      </w:r>
      <w:r w:rsidRPr="00F0674D">
        <w:rPr>
          <w:sz w:val="24"/>
          <w:szCs w:val="24"/>
          <w:lang w:val="pt-BR"/>
        </w:rPr>
        <w:t xml:space="preserve"> já havia demonstrado como o aparato médico-jurídico participa dessa administração, classificando e regulando identidades. Essa biopolítica do espaço encontra expressão particularmente evidente no debate em torno dos banheiros públicos. Bonadio </w:t>
      </w:r>
      <w:r>
        <w:rPr>
          <w:sz w:val="24"/>
          <w:szCs w:val="24"/>
          <w:lang w:val="pt-BR"/>
        </w:rPr>
        <w:fldChar w:fldCharType="begin"/>
      </w:r>
      <w:r>
        <w:rPr>
          <w:sz w:val="24"/>
          <w:szCs w:val="24"/>
          <w:lang w:val="pt-BR"/>
        </w:rPr>
        <w:instrText xml:space="preserve"> ADDIN ZOTERO_ITEM CSL_CITATION {"citationID":"mOxCUBmq","properties":{"formattedCitation":"(2025)","plainCitation":"(2025)","noteIndex":0},"citationItems":[{"id":1036,"uris":["http://zotero.org/users/13909333/items/KJ3J9ZAS"],"itemData":{"id":1036,"type":"article-journal","abstract":"This essay offers a critique of cis-heteronormativity through the sexopolitical histories of the architectural design of public restrooms, aiming to explore the contradictions of corporeality in gendered spatial production. Considering the significant transfobic expression in contemporary legislative controversies over gender self-determination in the use of public facilities, the text presents a dual argument: the relevance and, simultaneously, the need to problematize the hegemonic feminist model of the public (masculinized) versus private (feminized) spheres in the analysis of gender, space, and power. The essay concludes with a defense of queer speculation in architectural design practice, proposing a reflection on spatial justice from a gender perspective that engages with the ambivalences of feminist enuncia(c)tions.","container-title":"Revista Periódicus","DOI":"10.9771/peri.v3i21.60853","ISSN":"2358-0844","issue":"21","language":"pt","license":"Copyright (c) 2025 Mariana Galacini Bonadio","page":"115-140","source":"periodicos.ufba.br","title":"A vida pública da privada: ambivalências feministas nos banheiros públicos","title-short":"A vida pública da privada","volume":"3","author":[{"family":"Bonadio","given":"Mariana Galacini"}],"issued":{"date-parts":[["2025",6,20]]}},"suppress-author":true}],"schema":"https://github.com/citation-style-language/schema/raw/master/csl-citation.json"} </w:instrText>
      </w:r>
      <w:r>
        <w:rPr>
          <w:sz w:val="24"/>
          <w:szCs w:val="24"/>
          <w:lang w:val="pt-BR"/>
        </w:rPr>
        <w:fldChar w:fldCharType="separate"/>
      </w:r>
      <w:r w:rsidRPr="00F0674D">
        <w:rPr>
          <w:sz w:val="24"/>
        </w:rPr>
        <w:t>(2025)</w:t>
      </w:r>
      <w:r>
        <w:rPr>
          <w:sz w:val="24"/>
          <w:szCs w:val="24"/>
          <w:lang w:val="pt-BR"/>
        </w:rPr>
        <w:fldChar w:fldCharType="end"/>
      </w:r>
      <w:r w:rsidRPr="00F0674D">
        <w:rPr>
          <w:sz w:val="24"/>
          <w:szCs w:val="24"/>
          <w:lang w:val="pt-BR"/>
        </w:rPr>
        <w:t xml:space="preserve">, ao investigar a “vida pública da privada”, mostra que o banheiro é dispositivo arquitetônico e moral que cristaliza o binarismo sexual como princípio organizador do espaço. Ao dialogar com Preciado </w:t>
      </w:r>
      <w:r>
        <w:rPr>
          <w:sz w:val="24"/>
          <w:szCs w:val="24"/>
          <w:lang w:val="pt-BR"/>
        </w:rPr>
        <w:fldChar w:fldCharType="begin"/>
      </w:r>
      <w:r>
        <w:rPr>
          <w:sz w:val="24"/>
          <w:szCs w:val="24"/>
          <w:lang w:val="pt-BR"/>
        </w:rPr>
        <w:instrText xml:space="preserve"> ADDIN ZOTERO_ITEM CSL_CITATION {"citationID":"mNwfaYfZ","properties":{"formattedCitation":"(2021)","plainCitation":"(2021)","noteIndex":0},"citationItems":[{"id":1056,"uris":["http://zotero.org/users/13909333/items/SUCSKZYT"],"itemData":{"id":1056,"type":"book","abstract":"Com uma radicalidade lúcida e furiosa que demole qualquer noção conservadora e normativa, Um apartamento em Urano oferece ao leitor uma coletânea essencial do pensamento de Paul B. Preciado.  “Não sou um homem. Não sou uma mulher. Não sou heterossexual. Não sou homossexual. Tampouco sou bissexual. Sou um dissidente do sistema sexo-gênero. Sou a multiplicidade do cosmos encerrada num regime político e epistemológico binário gritando diante de vocês.” Um dos pensadores mais radicais e indispensáveis da atualidade, Paul B. Preciado apresenta aqui uma seleção das suas “crônicas da travessia”. Produzidos na última década, a maioria em quartos de hotel ou aeroportos, os textos acompanham seu processo de transição de gênero e podem ser lidos como um diário dessa passagem.  Com sua escrita brilhante, o filósofo espanhol analisa processos contemporâneos centrais de mutação política, cultural e sexual, como as novas formas de violência masculina, o assédio a crianças trans, os Estados Unidos de Trump, a apropriação tecnológica do útero e o trabalho sexual.  Um livro corajoso, transgressivo e urgente que defende, acima de tudo, a liberdade dos corpos e das subjetividades.","edition":"1","ISBN":"978-85-378-1883-1","language":"Português","number-of-pages":"320","publisher":"Zahar","publisher-place":"Rio de Janeiro, RJ","source":"Amazon","title":"Um apartamento em Urano: Crônicas da travessia","title-short":"Um apartamento em Urano","author":[{"family":"Preciado","given":"Paul B."}],"issued":{"date-parts":[["2021",6,16]]}},"suppress-author":true}],"schema":"https://github.com/citation-style-language/schema/raw/master/csl-citation.json"} </w:instrText>
      </w:r>
      <w:r>
        <w:rPr>
          <w:sz w:val="24"/>
          <w:szCs w:val="24"/>
          <w:lang w:val="pt-BR"/>
        </w:rPr>
        <w:fldChar w:fldCharType="separate"/>
      </w:r>
      <w:r w:rsidRPr="00F0674D">
        <w:rPr>
          <w:sz w:val="24"/>
        </w:rPr>
        <w:t>(2021)</w:t>
      </w:r>
      <w:r>
        <w:rPr>
          <w:sz w:val="24"/>
          <w:szCs w:val="24"/>
          <w:lang w:val="pt-BR"/>
        </w:rPr>
        <w:fldChar w:fldCharType="end"/>
      </w:r>
      <w:r w:rsidRPr="00F0674D">
        <w:rPr>
          <w:sz w:val="24"/>
          <w:szCs w:val="24"/>
          <w:lang w:val="pt-BR"/>
        </w:rPr>
        <w:t xml:space="preserve"> e sua reflexão sobre a arquitetura da segregação, torna-se possível compreender que tais ambientes funcionam como microterritórios de verificação ontológica: ali se exige a conformidade corporal à norma binária como condição de acesso.</w:t>
      </w:r>
    </w:p>
    <w:p w14:paraId="659BCA7C" w14:textId="72CC0869" w:rsidR="00F0674D" w:rsidRPr="00F0674D" w:rsidRDefault="00F0674D" w:rsidP="00F0674D">
      <w:pPr>
        <w:spacing w:line="360" w:lineRule="auto"/>
        <w:ind w:firstLine="720"/>
        <w:jc w:val="both"/>
        <w:rPr>
          <w:sz w:val="24"/>
          <w:szCs w:val="24"/>
          <w:lang w:val="pt-BR"/>
        </w:rPr>
      </w:pPr>
      <w:r w:rsidRPr="00F0674D">
        <w:rPr>
          <w:sz w:val="24"/>
          <w:szCs w:val="24"/>
          <w:lang w:val="pt-BR"/>
        </w:rPr>
        <w:t>Quando setores cis-separatistas demandam a exclusão de mulheres trans</w:t>
      </w:r>
      <w:r w:rsidR="0080590B">
        <w:rPr>
          <w:sz w:val="24"/>
          <w:szCs w:val="24"/>
          <w:lang w:val="pt-BR"/>
        </w:rPr>
        <w:t>, travestis e não-bináries</w:t>
      </w:r>
      <w:r w:rsidRPr="00F0674D">
        <w:rPr>
          <w:sz w:val="24"/>
          <w:szCs w:val="24"/>
          <w:lang w:val="pt-BR"/>
        </w:rPr>
        <w:t xml:space="preserve"> desses espaços, operam como verdadeiros “fiscais da natureza”, investindo a biologia de autoridade jurídica e moral. O argumento da proteção converte-se em alvará para definir quem pode ou não habitar determinadas ecologias sociais. A consequência é a produção de zonas de interdição que reiteram a precariedade existencial da população trans.</w:t>
      </w:r>
    </w:p>
    <w:p w14:paraId="24B3EC3D" w14:textId="47882E92"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Essa dinâmica não permanece restrita ao plano retórico ou às disputas nas redes sociais. Ela encontra tradução institucional nas engrenagens do Estado. A materialidade dessa vulnerabilidade é documentada nos relatórios da Associação Nacional de Travestis e Transexuais, sistematizados por Benevides </w:t>
      </w:r>
      <w:r>
        <w:rPr>
          <w:sz w:val="24"/>
          <w:szCs w:val="24"/>
          <w:lang w:val="pt-BR"/>
        </w:rPr>
        <w:fldChar w:fldCharType="begin"/>
      </w:r>
      <w:r>
        <w:rPr>
          <w:sz w:val="24"/>
          <w:szCs w:val="24"/>
          <w:lang w:val="pt-BR"/>
        </w:rPr>
        <w:instrText xml:space="preserve"> ADDIN ZOTERO_ITEM CSL_CITATION {"citationID":"rh67PpAJ","properties":{"formattedCitation":"(2025)","plainCitation":"(2025)","noteIndex":0},"citationItems":[{"id":817,"uris":["http://zotero.org/users/13909333/items/8NYPERTX"],"itemData":{"id":817,"type":"book","abstract":"A Associação Nacional de Travestis e Transexuais (ANTRA) apresenta a 8ª edição do \"Dossiê: Assassinatos e Violências contra Travestis e Transexuais Brasileiras\", com dados atualizados de 2024 sobre a violência contra pessoas trans no Brasil. Este documento traz uma análise detalhada e aprofundada do contexto político e social que agrava o estado de exceção enfrentado por essa população. Apesar de uma redução de 16% nos casos de assassinatos de pessoas trans em relação ao ano anterior, o cenário permanece adverso, sem políticas públicas efetivas para combater essa violência. Isso se torna evidente ao observar que, mesmo com a diminuição nos dados registrados pela pesquisa, o Brasil segue, pelo 16º ano consecutivo, como o país que mais assassina pessoas trans no mundo. Este dossiê, portanto, é um manifesto de memória e resistência que reforça a urgência de ações concretas para garantir direitos e combater as diversas formas de violência que afetam as pessoas trans e travestis.","ISBN":"978-65-986036-1-8","language":"pt-BR","number-of-pages":"150","publisher":"Distrito Drag","publisher-place":"Brasília, DF","source":"Câmara Brasileira do Livro ISBN","title":"Dossiê: Assassinatos e violências contra travestis e transexuais brasileiras em 2024","title-short":"Dossiê","author":[{"family":"Benevides","given":"Bruna G."}],"issued":{"date-parts":[["2025",1,17]]}},"suppress-author":true}],"schema":"https://github.com/citation-style-language/schema/raw/master/csl-citation.json"} </w:instrText>
      </w:r>
      <w:r>
        <w:rPr>
          <w:sz w:val="24"/>
          <w:szCs w:val="24"/>
          <w:lang w:val="pt-BR"/>
        </w:rPr>
        <w:fldChar w:fldCharType="separate"/>
      </w:r>
      <w:r w:rsidRPr="00F0674D">
        <w:rPr>
          <w:sz w:val="24"/>
        </w:rPr>
        <w:t>(2025)</w:t>
      </w:r>
      <w:r>
        <w:rPr>
          <w:sz w:val="24"/>
          <w:szCs w:val="24"/>
          <w:lang w:val="pt-BR"/>
        </w:rPr>
        <w:fldChar w:fldCharType="end"/>
      </w:r>
      <w:r w:rsidRPr="00F0674D">
        <w:rPr>
          <w:sz w:val="24"/>
          <w:szCs w:val="24"/>
          <w:lang w:val="pt-BR"/>
        </w:rPr>
        <w:t>, que evidenciam a persistência de índices alarmantes de violência letal e exclusão estrutural. O pânico moral, longe de ser fenômeno meramente simbólico, produz efeitos concretos na distribuição diferencial da vida e da morte.</w:t>
      </w:r>
    </w:p>
    <w:p w14:paraId="2C9A50BD" w14:textId="557E12B1" w:rsidR="00546FD4" w:rsidRDefault="00546FD4" w:rsidP="00F0674D">
      <w:pPr>
        <w:spacing w:line="360" w:lineRule="auto"/>
        <w:ind w:firstLine="720"/>
        <w:jc w:val="both"/>
        <w:rPr>
          <w:sz w:val="24"/>
          <w:szCs w:val="24"/>
        </w:rPr>
      </w:pPr>
      <w:r w:rsidRPr="00546FD4">
        <w:rPr>
          <w:sz w:val="24"/>
          <w:szCs w:val="24"/>
        </w:rPr>
        <w:t xml:space="preserve">No plano legislativo, observa-se a proliferação de iniciativas anti-LGBTI+ em câmaras municipais que funcionam como laboratórios do neoconservadorismo. Em cidades do interior paranaense, como Londrina e Maringá, essa tendência assume forma concreta por meio de dispositivos que articulam censura pedagógica, normatização da linguagem, controle da circulação e contenção da visibilidade pública. Em Londrina, essa racionalidade aparece, de um lado, na intervenção sobre o espaço escolar e discursivo </w:t>
      </w:r>
      <w:r>
        <w:rPr>
          <w:sz w:val="24"/>
          <w:szCs w:val="24"/>
          <w:lang w:val="pt-BR"/>
        </w:rPr>
        <w:t>–</w:t>
      </w:r>
      <w:r w:rsidRPr="00546FD4">
        <w:rPr>
          <w:sz w:val="24"/>
          <w:szCs w:val="24"/>
        </w:rPr>
        <w:t xml:space="preserve"> visível na Emenda à Lei Orgânica nº 55/2018 e nas Leis nº 13.419/2022 e nº 13.887/2024, voltadas à proibição de conteúdos de gênero </w:t>
      </w:r>
      <w:r w:rsidRPr="00546FD4">
        <w:rPr>
          <w:sz w:val="24"/>
          <w:szCs w:val="24"/>
        </w:rPr>
        <w:lastRenderedPageBreak/>
        <w:t xml:space="preserve">e da chamada “linguagem neutra” </w:t>
      </w:r>
      <w:r>
        <w:rPr>
          <w:sz w:val="24"/>
          <w:szCs w:val="24"/>
          <w:lang w:val="pt-BR"/>
        </w:rPr>
        <w:t>–</w:t>
      </w:r>
      <w:r w:rsidRPr="00546FD4">
        <w:rPr>
          <w:sz w:val="24"/>
          <w:szCs w:val="24"/>
        </w:rPr>
        <w:t xml:space="preserve"> e, de outro, na regulação direta da presença pública e corporal, como evidenciam a Lei nº 13.816/2024, que restringe a participação de crianças e adolescentes na Parada do Orgulho LGBTI+, a Lei nº 13.770/2024, que toma o sexo biológico como critério para o esporte, e o PL nº 58/2025, que amplia essa gramática proibitiva para atividades infantojuvenis. Em Maringá, ainda que esse movimento se expresse sobretudo no plano das proposições em tramitação, a mesma lógica se deixa ver em projetos que buscam disciplinar os usos legítimos do espaço e do corpo, como o PLO nº 17118/2025, relativo à vedação de banheiros e vestiários unissex, o PLO nº 17268/2025, que reafirma o sexo biológico como critério exclusivo nas competições esportivas, e o PLO nº 17215/2025, que inscreve inclusive a Parada do Orgulho LGBTI+ no horizonte de uma política punitiva. O léxico da “proteção”, assim, deixa de operar apenas como recurso retórico e passa a organizar barreiras jurídicas e administrativas à aparição pública de sujeitos e coletividades dissidentes. A regulação da presença nas escolas, nas ruas, nos eventos e nos equipamentos urbanos converte-se, desse modo, em estratégia de contenção política: ao dificultar a ocupação do espaço público, restringe-se o exercício da cidadania e enfraquece-se a capacidade de articulação coletiva.</w:t>
      </w:r>
    </w:p>
    <w:p w14:paraId="0B20D11C" w14:textId="75DCA45C" w:rsidR="00EC1B92" w:rsidRPr="00EC1B92" w:rsidRDefault="00F0674D" w:rsidP="00F0674D">
      <w:pPr>
        <w:spacing w:line="360" w:lineRule="auto"/>
        <w:ind w:firstLine="720"/>
        <w:jc w:val="both"/>
        <w:rPr>
          <w:sz w:val="24"/>
          <w:szCs w:val="24"/>
          <w:lang w:val="pt-BR"/>
        </w:rPr>
      </w:pPr>
      <w:r w:rsidRPr="007610DD">
        <w:rPr>
          <w:sz w:val="24"/>
          <w:szCs w:val="24"/>
          <w:lang w:val="pt-BR"/>
        </w:rPr>
        <w:t xml:space="preserve">Desse modo, o cis-separatismo, articulado ao pânico moral e à cruzada antigênero, constitui dispositivo sofisticado de gestão populacional. Sob a justificativa de resguardar direitos de sujeitos cisgêneros, produz-se uma cidadania condicional para pessoas </w:t>
      </w:r>
      <w:r w:rsidR="00AA10E3">
        <w:rPr>
          <w:sz w:val="24"/>
          <w:szCs w:val="24"/>
          <w:lang w:val="pt-BR"/>
        </w:rPr>
        <w:t>dissidentes de gênero,</w:t>
      </w:r>
      <w:r w:rsidRPr="007610DD">
        <w:rPr>
          <w:sz w:val="24"/>
          <w:szCs w:val="24"/>
          <w:lang w:val="pt-BR"/>
        </w:rPr>
        <w:t xml:space="preserve"> uma cidadania que depende da discrição, da invisibilidade ou da conformidade </w:t>
      </w:r>
      <w:r w:rsidR="00AA10E3">
        <w:rPr>
          <w:sz w:val="24"/>
          <w:szCs w:val="24"/>
          <w:lang w:val="pt-BR"/>
        </w:rPr>
        <w:t>compulsória</w:t>
      </w:r>
      <w:r w:rsidRPr="007610DD">
        <w:rPr>
          <w:sz w:val="24"/>
          <w:szCs w:val="24"/>
          <w:lang w:val="pt-BR"/>
        </w:rPr>
        <w:t>. A espacialização da exclusão revela que a disputa não é meramente semântica, mas envolve a própria definição de quem pode aparecer, circular e existir plenamente no espaço público. Controlar os regimes de visibilidade é, em última instância, controlar as condições de possibilidade da vida social.</w:t>
      </w:r>
    </w:p>
    <w:p w14:paraId="54457E1D" w14:textId="77777777" w:rsidR="002F66F0" w:rsidRDefault="002F66F0" w:rsidP="002F66F0">
      <w:pPr>
        <w:spacing w:line="360" w:lineRule="auto"/>
        <w:jc w:val="both"/>
        <w:rPr>
          <w:sz w:val="24"/>
          <w:szCs w:val="24"/>
          <w:lang w:val="pt-BR"/>
        </w:rPr>
      </w:pPr>
    </w:p>
    <w:p w14:paraId="55317610" w14:textId="6E8F5727" w:rsidR="00C9044E" w:rsidRPr="00C9044E" w:rsidRDefault="00200E88" w:rsidP="00200E88">
      <w:pPr>
        <w:spacing w:line="360" w:lineRule="auto"/>
        <w:rPr>
          <w:b/>
          <w:bCs/>
          <w:sz w:val="24"/>
          <w:szCs w:val="24"/>
          <w:lang w:val="pt-BR"/>
        </w:rPr>
      </w:pPr>
      <w:r w:rsidRPr="00C9044E">
        <w:rPr>
          <w:b/>
          <w:bCs/>
          <w:sz w:val="24"/>
          <w:szCs w:val="24"/>
          <w:lang w:val="pt-BR"/>
        </w:rPr>
        <w:t xml:space="preserve">4 CONVERGÊNCIAS </w:t>
      </w:r>
      <w:r>
        <w:rPr>
          <w:b/>
          <w:bCs/>
          <w:sz w:val="24"/>
          <w:szCs w:val="24"/>
          <w:lang w:val="pt-BR"/>
        </w:rPr>
        <w:t>N</w:t>
      </w:r>
      <w:r w:rsidRPr="00C9044E">
        <w:rPr>
          <w:b/>
          <w:bCs/>
          <w:sz w:val="24"/>
          <w:szCs w:val="24"/>
          <w:lang w:val="pt-BR"/>
        </w:rPr>
        <w:t xml:space="preserve">EOCONSERVADORAS: </w:t>
      </w:r>
      <w:r>
        <w:rPr>
          <w:b/>
          <w:bCs/>
          <w:sz w:val="24"/>
          <w:szCs w:val="24"/>
          <w:lang w:val="pt-BR"/>
        </w:rPr>
        <w:t>O</w:t>
      </w:r>
      <w:r w:rsidRPr="00C9044E">
        <w:rPr>
          <w:b/>
          <w:bCs/>
          <w:sz w:val="24"/>
          <w:szCs w:val="24"/>
          <w:lang w:val="pt-BR"/>
        </w:rPr>
        <w:t xml:space="preserve"> </w:t>
      </w:r>
      <w:r>
        <w:rPr>
          <w:b/>
          <w:bCs/>
          <w:sz w:val="24"/>
          <w:szCs w:val="24"/>
          <w:lang w:val="pt-BR"/>
        </w:rPr>
        <w:t>P</w:t>
      </w:r>
      <w:r w:rsidRPr="00C9044E">
        <w:rPr>
          <w:b/>
          <w:bCs/>
          <w:sz w:val="24"/>
          <w:szCs w:val="24"/>
          <w:lang w:val="pt-BR"/>
        </w:rPr>
        <w:t xml:space="preserve">ARADOXO DA </w:t>
      </w:r>
      <w:r>
        <w:rPr>
          <w:b/>
          <w:bCs/>
          <w:sz w:val="24"/>
          <w:szCs w:val="24"/>
          <w:lang w:val="pt-BR"/>
        </w:rPr>
        <w:t>A</w:t>
      </w:r>
      <w:r w:rsidRPr="00C9044E">
        <w:rPr>
          <w:b/>
          <w:bCs/>
          <w:sz w:val="24"/>
          <w:szCs w:val="24"/>
          <w:lang w:val="pt-BR"/>
        </w:rPr>
        <w:t xml:space="preserve">LIANÇA </w:t>
      </w:r>
      <w:r>
        <w:rPr>
          <w:b/>
          <w:bCs/>
          <w:sz w:val="24"/>
          <w:szCs w:val="24"/>
          <w:lang w:val="pt-BR"/>
        </w:rPr>
        <w:t>B</w:t>
      </w:r>
      <w:r w:rsidRPr="00C9044E">
        <w:rPr>
          <w:b/>
          <w:bCs/>
          <w:sz w:val="24"/>
          <w:szCs w:val="24"/>
          <w:lang w:val="pt-BR"/>
        </w:rPr>
        <w:t>IOPOLÍTICA</w:t>
      </w:r>
    </w:p>
    <w:p w14:paraId="3066B66F" w14:textId="4ED62801"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O desdobramento mais inquietante </w:t>
      </w:r>
      <w:r w:rsidR="00767CBF">
        <w:rPr>
          <w:sz w:val="24"/>
          <w:szCs w:val="24"/>
          <w:lang w:val="pt-BR"/>
        </w:rPr>
        <w:t>–</w:t>
      </w:r>
      <w:r w:rsidRPr="00F0674D">
        <w:rPr>
          <w:sz w:val="24"/>
          <w:szCs w:val="24"/>
          <w:lang w:val="pt-BR"/>
        </w:rPr>
        <w:t xml:space="preserve"> e sociologicamente paradoxal </w:t>
      </w:r>
      <w:r w:rsidR="00767CBF">
        <w:rPr>
          <w:sz w:val="24"/>
          <w:szCs w:val="24"/>
          <w:lang w:val="pt-BR"/>
        </w:rPr>
        <w:t>–</w:t>
      </w:r>
      <w:r w:rsidRPr="00F0674D">
        <w:rPr>
          <w:sz w:val="24"/>
          <w:szCs w:val="24"/>
          <w:lang w:val="pt-BR"/>
        </w:rPr>
        <w:t xml:space="preserve"> da gramática cis-separatista reside em sua convergência funcional com a agenda política e moral da extrema direita contemporânea. Essa aproximação não se apresenta, em regra, como aliança formal ou programática, mas como alinhamento estratégico em </w:t>
      </w:r>
      <w:r w:rsidRPr="00F0674D">
        <w:rPr>
          <w:sz w:val="24"/>
          <w:szCs w:val="24"/>
          <w:lang w:val="pt-BR"/>
        </w:rPr>
        <w:lastRenderedPageBreak/>
        <w:t xml:space="preserve">torno de um eixo comum: a defesa do sexo biológico como fundamento último da ordem social. Sonia Corrêa e Carla Rodrigues </w:t>
      </w:r>
      <w:r>
        <w:rPr>
          <w:sz w:val="24"/>
          <w:szCs w:val="24"/>
          <w:lang w:val="pt-BR"/>
        </w:rPr>
        <w:fldChar w:fldCharType="begin"/>
      </w:r>
      <w:r>
        <w:rPr>
          <w:sz w:val="24"/>
          <w:szCs w:val="24"/>
          <w:lang w:val="pt-BR"/>
        </w:rPr>
        <w:instrText xml:space="preserve"> ADDIN ZOTERO_ITEM CSL_CITATION {"citationID":"LIQ1IaQj","properties":{"formattedCitation":"(2023)","plainCitation":"(2023)","noteIndex":0},"citationItems":[{"id":1038,"uris":["http://zotero.org/users/13909333/items/4HKWZYNQ"],"itemData":{"id":1038,"type":"article-journal","abstract":"Apresentamos a importância do artigo \"Terfs, movimentos críticos do gênero e feminismos pós-fascistas\", que reúne elementos teóricos importantes para contribuir no debate a respeito das alianças políticas entre movimentos antigênero e forças políticas de ultradireita. O texto traça relevante e atual panorama do contexto global dessas articulações e, com isso, joga luz em aspectos do fenômeno que também ocorre no Brasil, embora por aqui as elaborações teóricas ainda não tenham alcançado a devida relevância.Terfs; Movimento antigênero; Transgeneridade","container-title":"Cadernos Pagu","DOI":"https://doi.org/10.1590/18094449202300680001","ISSN":"0104-8333, 1809-4449","issue":"68","journalAbbreviation":"Cad. Pagu","language":"pt","page":"e236801","publisher":"Universidade Estadual de Campinas (UNICAMP), Núcleo de Estudos de Gênero - PAGU","source":"SciELO","title":"Apresentando \"Terfs, movimentos críticos do gênero e feminismos pós-fascistas\"","author":[{"family":"Corrêa","given":"Sonia"},{"family":"Rodrigues","given":"Carla"}],"issued":{"date-parts":[["2023"]]}},"suppress-author":true}],"schema":"https://github.com/citation-style-language/schema/raw/master/csl-citation.json"} </w:instrText>
      </w:r>
      <w:r>
        <w:rPr>
          <w:sz w:val="24"/>
          <w:szCs w:val="24"/>
          <w:lang w:val="pt-BR"/>
        </w:rPr>
        <w:fldChar w:fldCharType="separate"/>
      </w:r>
      <w:r w:rsidRPr="00F0674D">
        <w:rPr>
          <w:sz w:val="24"/>
        </w:rPr>
        <w:t>(2023)</w:t>
      </w:r>
      <w:r>
        <w:rPr>
          <w:sz w:val="24"/>
          <w:szCs w:val="24"/>
          <w:lang w:val="pt-BR"/>
        </w:rPr>
        <w:fldChar w:fldCharType="end"/>
      </w:r>
      <w:r w:rsidRPr="00F0674D">
        <w:rPr>
          <w:sz w:val="24"/>
          <w:szCs w:val="24"/>
          <w:lang w:val="pt-BR"/>
        </w:rPr>
        <w:t xml:space="preserve"> analisam de modo contundente essa zona de interseção ao mapear a proximidade entre movimentos autodenominados “críticos do gênero” e vertentes feministas que, em contextos europeus e latino-americanos, dialogam com gramáticas pós-fascistas.</w:t>
      </w:r>
    </w:p>
    <w:p w14:paraId="6F7197D7" w14:textId="4E9F84FE" w:rsidR="00F0674D" w:rsidRPr="00F0674D" w:rsidRDefault="00F0674D" w:rsidP="00F0674D">
      <w:pPr>
        <w:spacing w:line="360" w:lineRule="auto"/>
        <w:ind w:firstLine="720"/>
        <w:jc w:val="both"/>
        <w:rPr>
          <w:sz w:val="24"/>
          <w:szCs w:val="24"/>
          <w:lang w:val="pt-BR"/>
        </w:rPr>
      </w:pPr>
      <w:r w:rsidRPr="00F0674D">
        <w:rPr>
          <w:sz w:val="24"/>
          <w:szCs w:val="24"/>
          <w:lang w:val="pt-BR"/>
        </w:rPr>
        <w:t>O ponto nodal dessa convergência é o essencialismo biológico. Ao recusar a historicização das categorias sexo e gênero e insistir na biologia como critério incontornável de pertencimento político, o cis-separatismo reativa o mesmo horizonte ontológico que sustenta projetos conservadores de hierarquização social. Retomando</w:t>
      </w:r>
      <w:r>
        <w:rPr>
          <w:sz w:val="24"/>
          <w:szCs w:val="24"/>
          <w:lang w:val="pt-BR"/>
        </w:rPr>
        <w:t xml:space="preserve"> </w:t>
      </w:r>
      <w:r w:rsidRPr="00F0674D">
        <w:rPr>
          <w:sz w:val="24"/>
          <w:szCs w:val="24"/>
          <w:lang w:val="pt-BR"/>
        </w:rPr>
        <w:t xml:space="preserve">Rubin </w:t>
      </w:r>
      <w:r>
        <w:rPr>
          <w:sz w:val="24"/>
          <w:szCs w:val="24"/>
          <w:lang w:val="pt-BR"/>
        </w:rPr>
        <w:fldChar w:fldCharType="begin"/>
      </w:r>
      <w:r>
        <w:rPr>
          <w:sz w:val="24"/>
          <w:szCs w:val="24"/>
          <w:lang w:val="pt-BR"/>
        </w:rPr>
        <w:instrText xml:space="preserve"> ADDIN ZOTERO_ITEM CSL_CITATION {"citationID":"6nfmG7BO","properties":{"formattedCitation":"(2017)","plainCitation":"(2017)","noteIndex":0},"citationItems":[{"id":129,"uris":["http://zotero.org/users/13909333/items/IWXKAYBQ"],"itemData":{"id":129,"type":"book","abstract":"Dois ensaios de referência fundamental para os estudos de gênero e sexualidade são reunidos e publicados neste volume. “O tráfico de mulheres” foi publicado em 1975, sob o impacto da tradução de Lévi-Strauss e da crescente presença do marxismo e da psicanálise no meio acadêmico estadunidense, num período em que as ciências humanas afirmavam que a desigualdade não era natural (mas social), e a antropologia se questionava sobre a universalidade da opressão das mulheres. Revendo e problematizando autores canônicos – Marx e Engels, Lévi-Strauss, Freud e Lacan – Rubin utiliza pela primeira vez o termo gênero num texto de teoria antropológica, afirmando a existência de um sistema de sexo-gênero, associado à própria passagem da natureza para a cultura. Ela critica e questiona a heterossexualidade implícita no raciocínio desses autores – como a presença de um tabu anterior ao do incesto, o da homossexualidade na teoria de Lévi-Strauss. Numa linguagem acessível para não antropólogos, Rubin argumenta que gênero e sexualidade devem ser pensados em interação, sugerindo que é o próprio arranjo do parentesco que produz socialmente o gênero, uma vez que por meio do casamento e da divisão sexual do trabalho se institui a diferença entre homens e mulheres. A desigualdade socialentre homens e mulheres aparece em estreita conexão com o controle da sexualidade feminina e a instituição do ideal heterossexual. Marco da reflexão sobre sexualidade, em “Pensando o sexo”, a autora argumenta que a sexualidade constitui uma categoria de desigualdade em si – em certa medida um eixo de hierarquia descolado do gênero. De modo provocativo, o texto problematiza as categorias classificatórias e expõe algumas formas regulatórias da sexualidade, como o direito e a medicina. Em diálogo com Foucault, revisões históricas como a de Jeffrey Weeks, além da evidente inspiração nas análises antropológicas que descrevem a diversidade cultural com relação à sexualidade, Rubin criticou a moralidade sexual subjacente às teorias e aos movimentos sociais com a mesma veemência com que tratou o status quo da teoria antropológica. Estes ensaios constituem os dois textos mais influentes de uma autora que se afirma militante feminista e pelos direitos das minorias sexuais. São textos fundamentais para entender o debate contemporâneo sobre gênero e sexualidade.","edition":"1","ISBN":"978-85-92886-48-6","language":"Português","publisher":"Ubu Editora","source":"Amazon","title":"Políticas do sexo","author":[{"family":"Rubin","given":"Gayle"}],"issued":{"date-parts":[["2017",9,1]]}},"suppress-author":true}],"schema":"https://github.com/citation-style-language/schema/raw/master/csl-citation.json"} </w:instrText>
      </w:r>
      <w:r>
        <w:rPr>
          <w:sz w:val="24"/>
          <w:szCs w:val="24"/>
          <w:lang w:val="pt-BR"/>
        </w:rPr>
        <w:fldChar w:fldCharType="separate"/>
      </w:r>
      <w:r w:rsidRPr="00F0674D">
        <w:rPr>
          <w:sz w:val="24"/>
        </w:rPr>
        <w:t>(2017)</w:t>
      </w:r>
      <w:r>
        <w:rPr>
          <w:sz w:val="24"/>
          <w:szCs w:val="24"/>
          <w:lang w:val="pt-BR"/>
        </w:rPr>
        <w:fldChar w:fldCharType="end"/>
      </w:r>
      <w:r w:rsidRPr="00F0674D">
        <w:rPr>
          <w:sz w:val="24"/>
          <w:szCs w:val="24"/>
          <w:lang w:val="pt-BR"/>
        </w:rPr>
        <w:t>, é possível perceber que essa insistência fortalece o próprio sistema sexo/gênero que o feminismo crítico buscou desestabilizar. A biologia, convertida em destino e fronteira, deixa de ser objeto de crítica para tornar-se tribunal normativo. O paradoxo é evidente: em nome da radicalidade feminista, reabilita-se o fundamento epistemológico que historicamente justificou a subordinação das mulheres.</w:t>
      </w:r>
    </w:p>
    <w:p w14:paraId="73DAF2F0" w14:textId="0EED2B9E"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Essa convergência não opera apenas no plano conceitual; ela se materializa na produção de um inimigo comum. </w:t>
      </w:r>
      <w:r w:rsidRPr="00F0674D">
        <w:rPr>
          <w:sz w:val="24"/>
          <w:szCs w:val="24"/>
          <w:lang w:val="en-US"/>
        </w:rPr>
        <w:t xml:space="preserve">Butler </w:t>
      </w:r>
      <w:r>
        <w:rPr>
          <w:sz w:val="24"/>
          <w:szCs w:val="24"/>
          <w:lang w:val="pt-BR"/>
        </w:rPr>
        <w:fldChar w:fldCharType="begin"/>
      </w:r>
      <w:r w:rsidRPr="00F0674D">
        <w:rPr>
          <w:sz w:val="24"/>
          <w:szCs w:val="24"/>
          <w:lang w:val="en-US"/>
        </w:rPr>
        <w:instrText xml:space="preserve"> ADDIN ZOTERO_ITEM CSL_CITATION {"citationID":"LzR0mpiq","properties":{"formattedCitation":"(2024)","plainCitation":"(2024)","noteIndex":0},"citationItems":[{"id":1046,"uris":["http://zotero.org/users/13909333/items/F34ZG8RA"],"itemData":{"id":1046,"type":"book","abstract":"Neste seu primeiro livro não acadêmico, Judith Butler analisa como o “gênero” se tornou central em discursos conservadores e reacionários, um fantasma com o objetivo de criar pânico moral e angariar apoio popular a projetos políticos fascistas, autoritários e excludentes.  Intervenção essencial em uma das questões mais inflamadas da atualidade, Quem tem medo do gênero? é uma convocatória arrojada a construir uma coalizão ampla contra as novas formas do fascismo. “É crucial que a política de gênero se oponha ao neoliberalismo e a outras formas de devastação capitalista e não se torne seu instrumento”, insiste Butler.  Em tempos sombrios, Butler nos oferece uma obra esperançosa de análise social e política. Ao abordar uma ampla variedade de temas – das feministas radicais transexcludentes ao novo populismo de direita, passando pelos ataques aos direitos reprodutivos, a dicotomia natureza/cultura, o debate sobre atletas trans e os legados colonial e racial do dimorfismo de gênero, entre outros –, o livro articula um robusto esforço emancipatório de imaginar novas possibilidades de liberdade e solidariedade.  O conservadorismo no Brasil, crescente nos últimos anos, é um dos objetos de análise da obra. Butler conta que o livro começou a ser desenvolvido em 2017, após sua visita ao Brasil, onde foi barbaramente hostilizada por manifestantes “antigênero”: “No aeroporto de São Paulo, minha parceira, Wendy Brown, e eu, fomos confrontadas por pessoas que nos ameaçaram de agressão física. Agradeço ao jovem da mochila que jogou o corpo entre mim e um agressor, recebendo os golpes que me eram dirigidos. Gostaria de saber o nome dele, mas tudo que tenho é a imagem dele travando uma briga no chão do aeroporto. Esse estranho extraordinário e a coragem manifesta de Wendy reforçaram a minha crença tanto na ética espontânea como na solidariedade política. Ao refletir sobre quem eram aquelas pessoas furiosas que nos acusaram de um conjunto caótico e sinistro de crimes sexuais, decidi escrever sobre o movimento contra a ideologia de gênero”.Trecho  “O mesmo argumento foi apresentado no Brasil de Bolsonaro, sob a alegação de que o gênero põe em dúvida o caráter natural e normativo da heterossexualidade, e que, uma vez que a ordem heterossexual deixar de ser sólida, uma enxurrada de perversidades sexuais, incluindo zoofilia e pedofilia, tomará a face da terra. As contradições são abundantes. Essa linha de pensamento – segundo a qual educar as crianças em relação ao “gênero” significa abuso infantil – se esquece, convenientemente, da longa e abominável história de abuso sexual de jovens por sacerdotes que depois são exonerados e protegidos pela Igreja. Acusar de abuso infantil quem leciona educação sexual é projetar os males cometidos pela Igreja sobre pessoas que estão tentando ensinar como o sexo funciona, por que o consentimento é importante e quais percursos existem tanto para o gênero como para a sexualidade. Essa externalização dos males é apenas um exemplo de como o fantasma do gênero atua.”","edition":"1","ISBN":"978-65-5717-334-3","language":"Português","number-of-pages":"280","publisher":"Boitempo Editorial","publisher-place":"São Paulo","source":"Amazon","title":"Quem tem Medo do Gênero?","author":[{"family":"Butler","given":"Judith"}],"issued":{"date-parts":[["2024",1,2]]}},"suppress-author":true}],"schema":"https://github.com/citation-style-language/schema/raw/master/csl-citation.json"} </w:instrText>
      </w:r>
      <w:r>
        <w:rPr>
          <w:sz w:val="24"/>
          <w:szCs w:val="24"/>
          <w:lang w:val="pt-BR"/>
        </w:rPr>
        <w:fldChar w:fldCharType="separate"/>
      </w:r>
      <w:r w:rsidRPr="00F0674D">
        <w:rPr>
          <w:sz w:val="24"/>
          <w:lang w:val="en-US"/>
        </w:rPr>
        <w:t>(2024)</w:t>
      </w:r>
      <w:r>
        <w:rPr>
          <w:sz w:val="24"/>
          <w:szCs w:val="24"/>
          <w:lang w:val="pt-BR"/>
        </w:rPr>
        <w:fldChar w:fldCharType="end"/>
      </w:r>
      <w:r w:rsidRPr="00F0674D">
        <w:rPr>
          <w:sz w:val="24"/>
          <w:szCs w:val="24"/>
          <w:lang w:val="en-US"/>
        </w:rPr>
        <w:t xml:space="preserve">, </w:t>
      </w:r>
      <w:proofErr w:type="spellStart"/>
      <w:r w:rsidRPr="00DC10C6">
        <w:rPr>
          <w:sz w:val="24"/>
          <w:szCs w:val="24"/>
          <w:lang w:val="en-US"/>
        </w:rPr>
        <w:t>ao</w:t>
      </w:r>
      <w:proofErr w:type="spellEnd"/>
      <w:r w:rsidRPr="00DC10C6">
        <w:rPr>
          <w:sz w:val="24"/>
          <w:szCs w:val="24"/>
          <w:lang w:val="en-US"/>
        </w:rPr>
        <w:t xml:space="preserve"> </w:t>
      </w:r>
      <w:proofErr w:type="spellStart"/>
      <w:r w:rsidRPr="00DC10C6">
        <w:rPr>
          <w:sz w:val="24"/>
          <w:szCs w:val="24"/>
          <w:lang w:val="en-US"/>
        </w:rPr>
        <w:t>examinar</w:t>
      </w:r>
      <w:proofErr w:type="spellEnd"/>
      <w:r w:rsidRPr="00DC10C6">
        <w:rPr>
          <w:sz w:val="24"/>
          <w:szCs w:val="24"/>
          <w:lang w:val="en-US"/>
        </w:rPr>
        <w:t xml:space="preserve"> a </w:t>
      </w:r>
      <w:proofErr w:type="spellStart"/>
      <w:r w:rsidRPr="00DC10C6">
        <w:rPr>
          <w:sz w:val="24"/>
          <w:szCs w:val="24"/>
          <w:lang w:val="en-US"/>
        </w:rPr>
        <w:t>cruzada</w:t>
      </w:r>
      <w:proofErr w:type="spellEnd"/>
      <w:r w:rsidRPr="00DC10C6">
        <w:rPr>
          <w:sz w:val="24"/>
          <w:szCs w:val="24"/>
          <w:lang w:val="en-US"/>
        </w:rPr>
        <w:t xml:space="preserve"> </w:t>
      </w:r>
      <w:proofErr w:type="spellStart"/>
      <w:r w:rsidRPr="00DC10C6">
        <w:rPr>
          <w:sz w:val="24"/>
          <w:szCs w:val="24"/>
          <w:lang w:val="en-US"/>
        </w:rPr>
        <w:t>transnacional</w:t>
      </w:r>
      <w:proofErr w:type="spellEnd"/>
      <w:r w:rsidRPr="00DC10C6">
        <w:rPr>
          <w:sz w:val="24"/>
          <w:szCs w:val="24"/>
          <w:lang w:val="en-US"/>
        </w:rPr>
        <w:t xml:space="preserve"> contra a </w:t>
      </w:r>
      <w:proofErr w:type="spellStart"/>
      <w:r w:rsidRPr="00DC10C6">
        <w:rPr>
          <w:sz w:val="24"/>
          <w:szCs w:val="24"/>
          <w:lang w:val="en-US"/>
        </w:rPr>
        <w:t>chamada</w:t>
      </w:r>
      <w:proofErr w:type="spellEnd"/>
      <w:r w:rsidRPr="00DC10C6">
        <w:rPr>
          <w:sz w:val="24"/>
          <w:szCs w:val="24"/>
          <w:lang w:val="en-US"/>
        </w:rPr>
        <w:t xml:space="preserve"> “</w:t>
      </w:r>
      <w:proofErr w:type="spellStart"/>
      <w:r w:rsidRPr="00DC10C6">
        <w:rPr>
          <w:sz w:val="24"/>
          <w:szCs w:val="24"/>
          <w:lang w:val="en-US"/>
        </w:rPr>
        <w:t>ideologia</w:t>
      </w:r>
      <w:proofErr w:type="spellEnd"/>
      <w:r w:rsidRPr="00DC10C6">
        <w:rPr>
          <w:sz w:val="24"/>
          <w:szCs w:val="24"/>
          <w:lang w:val="en-US"/>
        </w:rPr>
        <w:t xml:space="preserve"> de </w:t>
      </w:r>
      <w:proofErr w:type="spellStart"/>
      <w:r w:rsidRPr="00DC10C6">
        <w:rPr>
          <w:sz w:val="24"/>
          <w:szCs w:val="24"/>
          <w:lang w:val="en-US"/>
        </w:rPr>
        <w:t>gênero</w:t>
      </w:r>
      <w:proofErr w:type="spellEnd"/>
      <w:r w:rsidRPr="00DC10C6">
        <w:rPr>
          <w:sz w:val="24"/>
          <w:szCs w:val="24"/>
          <w:lang w:val="en-US"/>
        </w:rPr>
        <w:t xml:space="preserve">”, </w:t>
      </w:r>
      <w:proofErr w:type="spellStart"/>
      <w:r w:rsidRPr="00DC10C6">
        <w:rPr>
          <w:sz w:val="24"/>
          <w:szCs w:val="24"/>
          <w:lang w:val="en-US"/>
        </w:rPr>
        <w:t>demonstra</w:t>
      </w:r>
      <w:proofErr w:type="spellEnd"/>
      <w:r w:rsidRPr="00DC10C6">
        <w:rPr>
          <w:sz w:val="24"/>
          <w:szCs w:val="24"/>
          <w:lang w:val="en-US"/>
        </w:rPr>
        <w:t xml:space="preserve"> que </w:t>
      </w:r>
      <w:proofErr w:type="spellStart"/>
      <w:r w:rsidRPr="00DC10C6">
        <w:rPr>
          <w:sz w:val="24"/>
          <w:szCs w:val="24"/>
          <w:lang w:val="en-US"/>
        </w:rPr>
        <w:t>o</w:t>
      </w:r>
      <w:proofErr w:type="spellEnd"/>
      <w:r w:rsidRPr="00DC10C6">
        <w:rPr>
          <w:sz w:val="24"/>
          <w:szCs w:val="24"/>
          <w:lang w:val="en-US"/>
        </w:rPr>
        <w:t xml:space="preserve"> </w:t>
      </w:r>
      <w:proofErr w:type="spellStart"/>
      <w:r w:rsidRPr="00DC10C6">
        <w:rPr>
          <w:sz w:val="24"/>
          <w:szCs w:val="24"/>
          <w:lang w:val="en-US"/>
        </w:rPr>
        <w:t>neoconservadorismo</w:t>
      </w:r>
      <w:proofErr w:type="spellEnd"/>
      <w:r w:rsidRPr="00DC10C6">
        <w:rPr>
          <w:sz w:val="24"/>
          <w:szCs w:val="24"/>
          <w:lang w:val="en-US"/>
        </w:rPr>
        <w:t xml:space="preserve"> </w:t>
      </w:r>
      <w:proofErr w:type="spellStart"/>
      <w:r w:rsidRPr="00DC10C6">
        <w:rPr>
          <w:sz w:val="24"/>
          <w:szCs w:val="24"/>
          <w:lang w:val="en-US"/>
        </w:rPr>
        <w:t>contemporâneo</w:t>
      </w:r>
      <w:proofErr w:type="spellEnd"/>
      <w:r w:rsidRPr="00DC10C6">
        <w:rPr>
          <w:sz w:val="24"/>
          <w:szCs w:val="24"/>
          <w:lang w:val="en-US"/>
        </w:rPr>
        <w:t xml:space="preserve"> </w:t>
      </w:r>
      <w:proofErr w:type="spellStart"/>
      <w:r w:rsidRPr="00DC10C6">
        <w:rPr>
          <w:sz w:val="24"/>
          <w:szCs w:val="24"/>
          <w:lang w:val="en-US"/>
        </w:rPr>
        <w:t>depende</w:t>
      </w:r>
      <w:proofErr w:type="spellEnd"/>
      <w:r w:rsidRPr="00DC10C6">
        <w:rPr>
          <w:sz w:val="24"/>
          <w:szCs w:val="24"/>
          <w:lang w:val="en-US"/>
        </w:rPr>
        <w:t xml:space="preserve"> da </w:t>
      </w:r>
      <w:proofErr w:type="spellStart"/>
      <w:r w:rsidRPr="00DC10C6">
        <w:rPr>
          <w:sz w:val="24"/>
          <w:szCs w:val="24"/>
          <w:lang w:val="en-US"/>
        </w:rPr>
        <w:t>fabricação</w:t>
      </w:r>
      <w:proofErr w:type="spellEnd"/>
      <w:r w:rsidRPr="00DC10C6">
        <w:rPr>
          <w:sz w:val="24"/>
          <w:szCs w:val="24"/>
          <w:lang w:val="en-US"/>
        </w:rPr>
        <w:t xml:space="preserve"> de </w:t>
      </w:r>
      <w:proofErr w:type="spellStart"/>
      <w:r w:rsidRPr="00DC10C6">
        <w:rPr>
          <w:sz w:val="24"/>
          <w:szCs w:val="24"/>
          <w:lang w:val="en-US"/>
        </w:rPr>
        <w:t>uma</w:t>
      </w:r>
      <w:proofErr w:type="spellEnd"/>
      <w:r w:rsidRPr="00DC10C6">
        <w:rPr>
          <w:sz w:val="24"/>
          <w:szCs w:val="24"/>
          <w:lang w:val="en-US"/>
        </w:rPr>
        <w:t xml:space="preserve"> </w:t>
      </w:r>
      <w:proofErr w:type="spellStart"/>
      <w:r w:rsidRPr="00DC10C6">
        <w:rPr>
          <w:sz w:val="24"/>
          <w:szCs w:val="24"/>
          <w:lang w:val="en-US"/>
        </w:rPr>
        <w:t>ameaça</w:t>
      </w:r>
      <w:proofErr w:type="spellEnd"/>
      <w:r w:rsidRPr="00DC10C6">
        <w:rPr>
          <w:sz w:val="24"/>
          <w:szCs w:val="24"/>
          <w:lang w:val="en-US"/>
        </w:rPr>
        <w:t xml:space="preserve"> </w:t>
      </w:r>
      <w:proofErr w:type="spellStart"/>
      <w:r w:rsidRPr="00DC10C6">
        <w:rPr>
          <w:sz w:val="24"/>
          <w:szCs w:val="24"/>
          <w:lang w:val="en-US"/>
        </w:rPr>
        <w:t>difusa</w:t>
      </w:r>
      <w:proofErr w:type="spellEnd"/>
      <w:r w:rsidRPr="00DC10C6">
        <w:rPr>
          <w:sz w:val="24"/>
          <w:szCs w:val="24"/>
          <w:lang w:val="en-US"/>
        </w:rPr>
        <w:t xml:space="preserve"> que </w:t>
      </w:r>
      <w:proofErr w:type="spellStart"/>
      <w:r w:rsidRPr="00DC10C6">
        <w:rPr>
          <w:sz w:val="24"/>
          <w:szCs w:val="24"/>
          <w:lang w:val="en-US"/>
        </w:rPr>
        <w:t>agregue</w:t>
      </w:r>
      <w:proofErr w:type="spellEnd"/>
      <w:r w:rsidRPr="00DC10C6">
        <w:rPr>
          <w:sz w:val="24"/>
          <w:szCs w:val="24"/>
          <w:lang w:val="en-US"/>
        </w:rPr>
        <w:t xml:space="preserve"> </w:t>
      </w:r>
      <w:proofErr w:type="spellStart"/>
      <w:r w:rsidRPr="00DC10C6">
        <w:rPr>
          <w:sz w:val="24"/>
          <w:szCs w:val="24"/>
          <w:lang w:val="en-US"/>
        </w:rPr>
        <w:t>diferentes</w:t>
      </w:r>
      <w:proofErr w:type="spellEnd"/>
      <w:r w:rsidRPr="00DC10C6">
        <w:rPr>
          <w:sz w:val="24"/>
          <w:szCs w:val="24"/>
          <w:lang w:val="en-US"/>
        </w:rPr>
        <w:t xml:space="preserve"> </w:t>
      </w:r>
      <w:proofErr w:type="spellStart"/>
      <w:r w:rsidRPr="00DC10C6">
        <w:rPr>
          <w:sz w:val="24"/>
          <w:szCs w:val="24"/>
          <w:lang w:val="en-US"/>
        </w:rPr>
        <w:t>ansiedades</w:t>
      </w:r>
      <w:proofErr w:type="spellEnd"/>
      <w:r w:rsidRPr="00DC10C6">
        <w:rPr>
          <w:sz w:val="24"/>
          <w:szCs w:val="24"/>
          <w:lang w:val="en-US"/>
        </w:rPr>
        <w:t xml:space="preserve"> </w:t>
      </w:r>
      <w:proofErr w:type="spellStart"/>
      <w:r w:rsidRPr="00DC10C6">
        <w:rPr>
          <w:sz w:val="24"/>
          <w:szCs w:val="24"/>
          <w:lang w:val="en-US"/>
        </w:rPr>
        <w:t>morais</w:t>
      </w:r>
      <w:proofErr w:type="spellEnd"/>
      <w:r w:rsidRPr="00F0674D">
        <w:rPr>
          <w:sz w:val="24"/>
          <w:szCs w:val="24"/>
          <w:lang w:val="en-US"/>
        </w:rPr>
        <w:t xml:space="preserve">. </w:t>
      </w:r>
      <w:r w:rsidRPr="00F0674D">
        <w:rPr>
          <w:sz w:val="24"/>
          <w:szCs w:val="24"/>
          <w:lang w:val="pt-BR"/>
        </w:rPr>
        <w:t>O “gênero” transforma-se em espectro totalitário que supostamente corrói a família, a infância e a soberania nacional. O discurso cis-separatista, ao representar mulheres trans e travestis como ameaça à integridade da categoria “mulher”, reproduz estrutura narrativa semelhante: constrói-se um cenário de invasão, apagamento ou substituição.</w:t>
      </w:r>
    </w:p>
    <w:p w14:paraId="31A6C751" w14:textId="214A11A2"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Em ambos os casos, o medo é instrumentalizado como recurso político central. A natureza </w:t>
      </w:r>
      <w:r w:rsidR="004D2E44">
        <w:rPr>
          <w:sz w:val="24"/>
          <w:szCs w:val="24"/>
          <w:lang w:val="pt-BR"/>
        </w:rPr>
        <w:t>(</w:t>
      </w:r>
      <w:r w:rsidRPr="00F0674D">
        <w:rPr>
          <w:sz w:val="24"/>
          <w:szCs w:val="24"/>
          <w:lang w:val="pt-BR"/>
        </w:rPr>
        <w:t>traduzida em sexo biológico</w:t>
      </w:r>
      <w:r w:rsidR="004D2E44">
        <w:rPr>
          <w:sz w:val="24"/>
          <w:szCs w:val="24"/>
          <w:lang w:val="pt-BR"/>
        </w:rPr>
        <w:t>)</w:t>
      </w:r>
      <w:r w:rsidRPr="00F0674D">
        <w:rPr>
          <w:sz w:val="24"/>
          <w:szCs w:val="24"/>
          <w:lang w:val="pt-BR"/>
        </w:rPr>
        <w:t xml:space="preserve"> é invocada como instância suprema de legitimação, capaz de suspender debates históricos e complexidades sociológicas. A diferença é que, enquanto o neoconservadorismo mobiliza abertamente fundamentos religiosos </w:t>
      </w:r>
      <w:r w:rsidR="004D2E44">
        <w:rPr>
          <w:sz w:val="24"/>
          <w:szCs w:val="24"/>
          <w:lang w:val="pt-BR"/>
        </w:rPr>
        <w:t>e/</w:t>
      </w:r>
      <w:r w:rsidRPr="00F0674D">
        <w:rPr>
          <w:sz w:val="24"/>
          <w:szCs w:val="24"/>
          <w:lang w:val="pt-BR"/>
        </w:rPr>
        <w:t>ou nacionalistas, o cis-separatismo frequentemente reivindica uma linguagem de direitos das mulheres. Ainda assim, o efeito performativo converge: a legitimação de dispositivos de exclusão.</w:t>
      </w:r>
    </w:p>
    <w:p w14:paraId="66393814" w14:textId="755B90EA"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Para compreender a profundidade desse movimento, o paradigma da biopolítica da imunidade, proposto por Roberto Esposito </w:t>
      </w:r>
      <w:r>
        <w:rPr>
          <w:sz w:val="24"/>
          <w:szCs w:val="24"/>
          <w:lang w:val="pt-BR"/>
        </w:rPr>
        <w:fldChar w:fldCharType="begin"/>
      </w:r>
      <w:r>
        <w:rPr>
          <w:sz w:val="24"/>
          <w:szCs w:val="24"/>
          <w:lang w:val="pt-BR"/>
        </w:rPr>
        <w:instrText xml:space="preserve"> ADDIN ZOTERO_ITEM CSL_CITATION {"citationID":"bj7dtQDP","properties":{"formattedCitation":"(2010)","plainCitation":"(2010)","noteIndex":0},"citationItems":[{"id":1050,"uris":["http://zotero.org/users/13909333/items/T73WH8FA"],"itemData":{"id":1050,"type":"book","abstract":"Nesta obra, o autor, um conceituado filósofo italiano contemporâneo, explora a confluência da política e da biologia no decurso do século XX, bem como as suas implicações filosóficas. Fazendo a ponte com o célebre texto de Foucault, Nascimento da Biopolítica, Roberto Esposito aborda o enigma da biopolítica, o paradigma da imunização e a filosofia da bios.","edition":"1","ISBN":"978-972-44-1609-0","language":"Português","number-of-pages":"272","publisher":"Edições 70","publisher-place":"Coimbra","source":"Amazon","title":"Bios: Biopolítica e Filosofia","title-short":"Bios","author":[{"family":"Esposito","given":"Roberto"}],"issued":{"date-parts":[["2010"]]}},"suppress-author":true}],"schema":"https://github.com/citation-style-language/schema/raw/master/csl-citation.json"} </w:instrText>
      </w:r>
      <w:r>
        <w:rPr>
          <w:sz w:val="24"/>
          <w:szCs w:val="24"/>
          <w:lang w:val="pt-BR"/>
        </w:rPr>
        <w:fldChar w:fldCharType="separate"/>
      </w:r>
      <w:r w:rsidRPr="00F0674D">
        <w:rPr>
          <w:sz w:val="24"/>
        </w:rPr>
        <w:t>(2010)</w:t>
      </w:r>
      <w:r>
        <w:rPr>
          <w:sz w:val="24"/>
          <w:szCs w:val="24"/>
          <w:lang w:val="pt-BR"/>
        </w:rPr>
        <w:fldChar w:fldCharType="end"/>
      </w:r>
      <w:r w:rsidRPr="00F0674D">
        <w:rPr>
          <w:sz w:val="24"/>
          <w:szCs w:val="24"/>
          <w:lang w:val="pt-BR"/>
        </w:rPr>
        <w:t xml:space="preserve">, oferece uma chave interpretativa fecunda. Segundo o </w:t>
      </w:r>
      <w:r w:rsidR="004D2E44">
        <w:rPr>
          <w:sz w:val="24"/>
          <w:szCs w:val="24"/>
          <w:lang w:val="pt-BR"/>
        </w:rPr>
        <w:t>filósofo</w:t>
      </w:r>
      <w:r w:rsidRPr="00F0674D">
        <w:rPr>
          <w:sz w:val="24"/>
          <w:szCs w:val="24"/>
          <w:lang w:val="pt-BR"/>
        </w:rPr>
        <w:t xml:space="preserve">, a lógica imunológica organiza-se em torno </w:t>
      </w:r>
      <w:r w:rsidRPr="00F0674D">
        <w:rPr>
          <w:sz w:val="24"/>
          <w:szCs w:val="24"/>
          <w:lang w:val="pt-BR"/>
        </w:rPr>
        <w:lastRenderedPageBreak/>
        <w:t xml:space="preserve">da proteção da comunidade contra um elemento percebido como estranho ou contaminante. Entretanto, quando radicalizada, essa lógica produz um efeito autoimune: na tentativa de preservar a vida coletiva, corrói as próprias bases que pretendia proteger. O cis-separatismo pode ser lido como expressão dessa racionalidade imunológica. Ao buscar “proteger” o sujeito político do feminismo </w:t>
      </w:r>
      <w:r w:rsidR="00767CBF">
        <w:rPr>
          <w:sz w:val="24"/>
          <w:szCs w:val="24"/>
          <w:lang w:val="pt-BR"/>
        </w:rPr>
        <w:t>–</w:t>
      </w:r>
      <w:r w:rsidRPr="00F0674D">
        <w:rPr>
          <w:sz w:val="24"/>
          <w:szCs w:val="24"/>
          <w:lang w:val="pt-BR"/>
        </w:rPr>
        <w:t xml:space="preserve"> definido estritamente como mulher </w:t>
      </w:r>
      <w:r w:rsidR="00546FD4" w:rsidRPr="00F0674D">
        <w:rPr>
          <w:sz w:val="24"/>
          <w:szCs w:val="24"/>
          <w:lang w:val="pt-BR"/>
        </w:rPr>
        <w:t>cisgênero</w:t>
      </w:r>
      <w:r w:rsidRPr="00F0674D">
        <w:rPr>
          <w:sz w:val="24"/>
          <w:szCs w:val="24"/>
          <w:lang w:val="pt-BR"/>
        </w:rPr>
        <w:t xml:space="preserve"> </w:t>
      </w:r>
      <w:r w:rsidR="00767CBF">
        <w:rPr>
          <w:sz w:val="24"/>
          <w:szCs w:val="24"/>
          <w:lang w:val="pt-BR"/>
        </w:rPr>
        <w:t>–</w:t>
      </w:r>
      <w:r w:rsidRPr="00F0674D">
        <w:rPr>
          <w:sz w:val="24"/>
          <w:szCs w:val="24"/>
          <w:lang w:val="pt-BR"/>
        </w:rPr>
        <w:t xml:space="preserve"> contra a presença trans, termina por fortalecer o aparato normativo e repressivo que historicamente regulou e restringiu as vidas das próprias mulheres.</w:t>
      </w:r>
    </w:p>
    <w:p w14:paraId="3C29464F" w14:textId="71F423F2"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Essa dimensão autoimune torna-se ainda mais evidente quando se considera o contexto brasileiro. Vergueiro </w:t>
      </w:r>
      <w:r>
        <w:rPr>
          <w:sz w:val="24"/>
          <w:szCs w:val="24"/>
          <w:lang w:val="pt-BR"/>
        </w:rPr>
        <w:fldChar w:fldCharType="begin"/>
      </w:r>
      <w:r>
        <w:rPr>
          <w:sz w:val="24"/>
          <w:szCs w:val="24"/>
          <w:lang w:val="pt-BR"/>
        </w:rPr>
        <w:instrText xml:space="preserve"> ADDIN ZOTERO_ITEM CSL_CITATION {"citationID":"YVCTtOuq","properties":{"formattedCitation":"(2024)","plainCitation":"(2024)","noteIndex":0},"citationItems":[{"id":1040,"uris":["http://zotero.org/users/13909333/items/3QR5H5RX"],"itemData":{"id":1040,"type":"book","abstract":"POR INFLEXÕES DE COLONIAIS DE CORPOS E IDENTIDADES","edition":"1","ISBN":"978-65-5630-541-7","language":"Português","number-of-pages":"732","publisher":"Editora da UFBA","publisher-place":"Salvador","source":"Amazon","title":"Por inflexões decoloniais de corpos e identidades de gênero inconformes: uma análise autoetnográfica da cisgeneridade como normatividade","author":[{"family":"Vergueiro","given":"Viviane"}],"issued":{"date-parts":[["2024"]]}},"suppress-author":true}],"schema":"https://github.com/citation-style-language/schema/raw/master/csl-citation.json"} </w:instrText>
      </w:r>
      <w:r>
        <w:rPr>
          <w:sz w:val="24"/>
          <w:szCs w:val="24"/>
          <w:lang w:val="pt-BR"/>
        </w:rPr>
        <w:fldChar w:fldCharType="separate"/>
      </w:r>
      <w:r w:rsidRPr="00F0674D">
        <w:rPr>
          <w:sz w:val="24"/>
        </w:rPr>
        <w:t>(2024)</w:t>
      </w:r>
      <w:r>
        <w:rPr>
          <w:sz w:val="24"/>
          <w:szCs w:val="24"/>
          <w:lang w:val="pt-BR"/>
        </w:rPr>
        <w:fldChar w:fldCharType="end"/>
      </w:r>
      <w:r w:rsidRPr="00F0674D">
        <w:rPr>
          <w:sz w:val="24"/>
          <w:szCs w:val="24"/>
          <w:lang w:val="pt-BR"/>
        </w:rPr>
        <w:t xml:space="preserve"> </w:t>
      </w:r>
      <w:r w:rsidR="004D2E44" w:rsidRPr="004D2E44">
        <w:rPr>
          <w:sz w:val="24"/>
          <w:szCs w:val="24"/>
        </w:rPr>
        <w:t>argumenta que a cisnormatividade constitui uma racionalidade social amplamente disseminada, capaz de atravessar campos ideológicos distintos. Sua eficácia não depende de adesão explícita à extrema direita; sustenta-se, antes, na crença naturalizada de que há correspondência necessária entre genitália, identidade de gênero e papel social.</w:t>
      </w:r>
      <w:r w:rsidRPr="00F0674D">
        <w:rPr>
          <w:sz w:val="24"/>
          <w:szCs w:val="24"/>
          <w:lang w:val="pt-BR"/>
        </w:rPr>
        <w:t xml:space="preserve"> Essa crença funciona como ponte epistêmica entre setores religiosos fundamentalistas e frações do feminismo que se reivindicam radicais.</w:t>
      </w:r>
    </w:p>
    <w:p w14:paraId="167B25E2" w14:textId="25B3FB5D"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Flávia Biroli </w:t>
      </w:r>
      <w:r>
        <w:rPr>
          <w:sz w:val="24"/>
          <w:szCs w:val="24"/>
          <w:lang w:val="pt-BR"/>
        </w:rPr>
        <w:fldChar w:fldCharType="begin"/>
      </w:r>
      <w:r>
        <w:rPr>
          <w:sz w:val="24"/>
          <w:szCs w:val="24"/>
          <w:lang w:val="pt-BR"/>
        </w:rPr>
        <w:instrText xml:space="preserve"> ADDIN ZOTERO_ITEM CSL_CITATION {"citationID":"E0GO0ly4","properties":{"formattedCitation":"(2018)","plainCitation":"(2018)","noteIndex":0},"citationItems":[{"id":1044,"uris":["http://zotero.org/users/13909333/items/BFV8MK7E"],"itemData":{"id":1044,"type":"book","abstract":"Em Gênero e desigualdades, a cientista política Flávia Biroli, professora do Instituto de Ciência Política da Universidade de Brasília, apresenta as muitas transformações nas relações de gênero ocorridas nas décadas recentes. Os grandes temas do feminismo pós-1970 aparecem, em cada capítulo, com os diversos cenários históricos mundiais e nacionais que os moldaram, frearam ou impulsionaram as lutas das mulheres. Situada no contexto brasileiro, a obra ilumina as discussões sobre desigualdade entre homens e mulheres com o objetivo de compreender os impasses que se apresentam na construção de relações de gênero mais justas. Para responder a esse desafio, a autora examina temas fundamentais dos direitos das mulheres, do feminismo e da democracia brasileira. Com linguagem refinada, precisa e clara, a pesquisadora analisa diferentes dimensões - divisão sexual do trabalho; cuidado e responsabilidades; família e maternidade; aborto, sexualidade e autonomia; feminismos e atuação política - que permitem ver como, apesar de alterações significativas, o lugar das mulheres permanece subalterno, interpelando os limites da democracia. A partir do diálogo sistemático com o debate teórico internacional contemporâneo e incorporando elementos empíricos e contextuais, Flávia Biroli encerra o livro com uma análise de fôlego sobre a investida reacionária à agenda de gênero na América Latina. A orelha é de Céli Pinto e a quarta capa, de Albertina de Oliveira Costa.","edition":"1","ISBN":"978-85-7559-604-3","language":"Português","number-of-pages":"252","publisher":"Boitempo Editorial","publisher-place":"São Paulo, SP","source":"Amazon","title":"Gênero e Desigualdades: Limites da Democracia no Brasil","title-short":"Gênero e Desigualdades","author":[{"family":"Biroli","given":"Flávia"}],"issued":{"date-parts":[["2018"]]}},"suppress-author":true}],"schema":"https://github.com/citation-style-language/schema/raw/master/csl-citation.json"} </w:instrText>
      </w:r>
      <w:r>
        <w:rPr>
          <w:sz w:val="24"/>
          <w:szCs w:val="24"/>
          <w:lang w:val="pt-BR"/>
        </w:rPr>
        <w:fldChar w:fldCharType="separate"/>
      </w:r>
      <w:r w:rsidRPr="00F0674D">
        <w:rPr>
          <w:sz w:val="24"/>
        </w:rPr>
        <w:t>(2018)</w:t>
      </w:r>
      <w:r>
        <w:rPr>
          <w:sz w:val="24"/>
          <w:szCs w:val="24"/>
          <w:lang w:val="pt-BR"/>
        </w:rPr>
        <w:fldChar w:fldCharType="end"/>
      </w:r>
      <w:r w:rsidRPr="00F0674D">
        <w:rPr>
          <w:sz w:val="24"/>
          <w:szCs w:val="24"/>
          <w:lang w:val="pt-BR"/>
        </w:rPr>
        <w:t>, ao analisar a ofensiva antigênero no Brasil, evidencia como forças neoconservadoras frequentemente recorrem à retórica da “defesa das mulheres” para conferir legitimidade democrática a projetos autoritários. Nesse cenário, discursos cis-separatistas que defendem a exclusão de pessoas trans de políticas públicas, esportes ou espaços de acolhimento acabam fornecendo um verniz secular a iniciativas legislativas e administrativas de caráter abertamente anti-LGBTI+. A exclusão é reembalada como proteção; a restrição de direitos é apresentada como salvaguarda da igualdade.</w:t>
      </w:r>
    </w:p>
    <w:p w14:paraId="0D691922" w14:textId="7CB688CD"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Bento </w:t>
      </w:r>
      <w:r>
        <w:rPr>
          <w:sz w:val="24"/>
          <w:szCs w:val="24"/>
          <w:lang w:val="pt-BR"/>
        </w:rPr>
        <w:fldChar w:fldCharType="begin"/>
      </w:r>
      <w:r w:rsidR="00767CBF">
        <w:rPr>
          <w:sz w:val="24"/>
          <w:szCs w:val="24"/>
          <w:lang w:val="pt-BR"/>
        </w:rPr>
        <w:instrText xml:space="preserve"> ADDIN ZOTERO_ITEM CSL_CITATION {"citationID":"pQcNiuHT","properties":{"formattedCitation":"(2017)","plainCitation":"(2017)","noteIndex":0},"citationItems":[{"id":108,"uris":["http://zotero.org/users/13909333/items/A5WEFBZG"],"itemData":{"id":108,"type":"book","ISBN":"978-85-93646-07-2","language":"pt-BR","publisher":"Editora Devires","source":"Câmara Brasileira do Livro ISBN","title":"A reinvenção do corpo: sexualidade e gênero na experiência transexual","title-short":"A reinvenção do corpo","author":[{"family":"Bento","given":"Berenice"}],"issued":{"date-parts":[["2017",12,15]]}},"suppress-author":true}],"schema":"https://github.com/citation-style-language/schema/raw/master/csl-citation.json"} </w:instrText>
      </w:r>
      <w:r>
        <w:rPr>
          <w:sz w:val="24"/>
          <w:szCs w:val="24"/>
          <w:lang w:val="pt-BR"/>
        </w:rPr>
        <w:fldChar w:fldCharType="separate"/>
      </w:r>
      <w:r w:rsidR="00767CBF" w:rsidRPr="00767CBF">
        <w:rPr>
          <w:sz w:val="24"/>
        </w:rPr>
        <w:t>(2017)</w:t>
      </w:r>
      <w:r>
        <w:rPr>
          <w:sz w:val="24"/>
          <w:szCs w:val="24"/>
          <w:lang w:val="pt-BR"/>
        </w:rPr>
        <w:fldChar w:fldCharType="end"/>
      </w:r>
      <w:r w:rsidRPr="00F0674D">
        <w:rPr>
          <w:sz w:val="24"/>
          <w:szCs w:val="24"/>
          <w:lang w:val="pt-BR"/>
        </w:rPr>
        <w:t xml:space="preserve"> auxilia na compreensão de como essa convergência se traduz em dispositivos institucionais concretos. Quando o sexo biológico é erigido como critério jurídico absoluto, o Estado adquire prerrogativa ampliada para classificar, autorizar ou interditar existências. O que começa como disputa semântica culmina em políticas públicas que restringem acesso à saúde, educação, esporte e reconhecimento civil. A biopolítica não opera apenas pela violência direta, mas pela administração diferencial da legitimidade.</w:t>
      </w:r>
    </w:p>
    <w:p w14:paraId="13F5F283" w14:textId="77777777"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O resultado dessa articulação é profundamente ambíguo. Ao buscar preservar a pureza de um sujeito feminista delimitado biologicamente, o cis-separatismo abdica </w:t>
      </w:r>
      <w:r w:rsidRPr="00F0674D">
        <w:rPr>
          <w:sz w:val="24"/>
          <w:szCs w:val="24"/>
          <w:lang w:val="pt-BR"/>
        </w:rPr>
        <w:lastRenderedPageBreak/>
        <w:t>da potência transformadora de uma solidariedade interseccional e reitera a centralidade do controle corporal. A promessa de proteção converte-se em dispositivo de exclusão que retroalimenta o maquinário neoconservador. O policiamento de genitálias, a fiscalização de identidades e a naturalização da correspondência sexo-gênero tornam-se práticas compartilhadas por atores que, em tese, ocupariam campos políticos opostos.</w:t>
      </w:r>
    </w:p>
    <w:p w14:paraId="049A438B" w14:textId="5D65582A" w:rsidR="00C9044E" w:rsidRPr="00C9044E" w:rsidRDefault="00F0674D" w:rsidP="00F0674D">
      <w:pPr>
        <w:spacing w:line="360" w:lineRule="auto"/>
        <w:ind w:firstLine="720"/>
        <w:jc w:val="both"/>
        <w:rPr>
          <w:sz w:val="24"/>
          <w:szCs w:val="24"/>
          <w:lang w:val="pt-BR"/>
        </w:rPr>
      </w:pPr>
      <w:r w:rsidRPr="007610DD">
        <w:rPr>
          <w:sz w:val="24"/>
          <w:szCs w:val="24"/>
          <w:lang w:val="pt-BR"/>
        </w:rPr>
        <w:t>O paradoxo da aliança biopolítica reside, portanto, na produção de um terreno comum entre projetos que diferem em autodeclaração, mas convergem na defesa da mesma ontologia naturalizada. Ao legitimar o controle sobre corpos dissidentes em nome da segurança, o cis-separatismo reforça as tecnologias de poder que historicamente regulam, classificam e violentam todas as corporalidades femininas e desviantes. A lógica imunológica, ao tentar salvar o corpo político do feminismo por meio da exclusão, expõe sua face autoimune: fortalece precisamente as estruturas que comprometem a liberdade coletiva que afirma defender.</w:t>
      </w:r>
    </w:p>
    <w:p w14:paraId="39715696" w14:textId="77777777" w:rsidR="002F66F0" w:rsidRDefault="002F66F0" w:rsidP="002F66F0">
      <w:pPr>
        <w:spacing w:line="360" w:lineRule="auto"/>
        <w:jc w:val="both"/>
        <w:rPr>
          <w:sz w:val="24"/>
          <w:szCs w:val="24"/>
          <w:lang w:val="pt-BR"/>
        </w:rPr>
      </w:pPr>
    </w:p>
    <w:p w14:paraId="08BC19FC" w14:textId="3E97A60B" w:rsidR="00C9044E" w:rsidRPr="00C9044E" w:rsidRDefault="00200E88" w:rsidP="00200E88">
      <w:pPr>
        <w:spacing w:line="360" w:lineRule="auto"/>
        <w:rPr>
          <w:b/>
          <w:bCs/>
          <w:sz w:val="24"/>
          <w:szCs w:val="24"/>
          <w:lang w:val="pt-BR"/>
        </w:rPr>
      </w:pPr>
      <w:r w:rsidRPr="00C9044E">
        <w:rPr>
          <w:b/>
          <w:bCs/>
          <w:sz w:val="24"/>
          <w:szCs w:val="24"/>
          <w:lang w:val="pt-BR"/>
        </w:rPr>
        <w:t>5 CONSIDERAÇÕES FINAIS: POR UMA POLÍTICA DE ALIANÇAS E A RADICALIZAÇÃO DA SOLIDARIEDADE</w:t>
      </w:r>
    </w:p>
    <w:p w14:paraId="231777E8" w14:textId="6C0611FE"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O percurso desenvolvido neste ensaio permitiu sustentar que </w:t>
      </w:r>
      <w:r w:rsidR="00B16EF5" w:rsidRPr="00B16EF5">
        <w:rPr>
          <w:sz w:val="24"/>
          <w:szCs w:val="24"/>
        </w:rPr>
        <w:t xml:space="preserve">o cis-separatismo deve ser compreendido, neste </w:t>
      </w:r>
      <w:r w:rsidR="00B16EF5">
        <w:rPr>
          <w:sz w:val="24"/>
          <w:szCs w:val="24"/>
        </w:rPr>
        <w:t>trabalho</w:t>
      </w:r>
      <w:r w:rsidR="00B16EF5" w:rsidRPr="00B16EF5">
        <w:rPr>
          <w:sz w:val="24"/>
          <w:szCs w:val="24"/>
        </w:rPr>
        <w:t>, como expressão de uma lógica cis-separatista de gestão diferencial da vida</w:t>
      </w:r>
      <w:r w:rsidRPr="00B16EF5">
        <w:rPr>
          <w:sz w:val="24"/>
          <w:szCs w:val="24"/>
          <w:lang w:val="pt-BR"/>
        </w:rPr>
        <w:t>.</w:t>
      </w:r>
      <w:r w:rsidRPr="00F0674D">
        <w:rPr>
          <w:sz w:val="24"/>
          <w:szCs w:val="24"/>
          <w:lang w:val="pt-BR"/>
        </w:rPr>
        <w:t xml:space="preserve"> Ao reivindicar a proteção de um sujeito político delimitado biologicamente, essa matriz discursiva institui critérios normativos de pertencimento que operam, na prática, como mecanismos de exclusão e precarização. A retórica da segurança, longe de neutralidade emancipatória, converte-se em instrumento de policiamento dos regimes de visibilidade, definindo quais corpos podem aparecer, circular e reivindicar direitos sem serem convertidos em ameaça.</w:t>
      </w:r>
    </w:p>
    <w:p w14:paraId="565FB35B" w14:textId="35C025B5"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A genealogia aqui traçada evidenciou que a insistência no determinismo anatômico reinscreve o sistema sexo/gênero que o feminismo crítico historicamente buscou desestabilizar. Ao naturalizar o sexo como fundamento incontestável da política, o cis-separatismo reforça dispositivos classificatórios que punem aqueles corpos que desorganizam a correspondência normativa entre genitália, identidade e papel social. Essa dinâmica não se limita ao plano simbólico: ela se materializa em barreiras burocráticas, iniciativas legislativas restritivas e práticas institucionais que </w:t>
      </w:r>
      <w:r w:rsidRPr="00F0674D">
        <w:rPr>
          <w:sz w:val="24"/>
          <w:szCs w:val="24"/>
          <w:lang w:val="pt-BR"/>
        </w:rPr>
        <w:lastRenderedPageBreak/>
        <w:t>condicionam o exercício pleno da cidadania por pessoas trans</w:t>
      </w:r>
      <w:r w:rsidR="00DF732F">
        <w:rPr>
          <w:sz w:val="24"/>
          <w:szCs w:val="24"/>
          <w:lang w:val="pt-BR"/>
        </w:rPr>
        <w:t>,</w:t>
      </w:r>
      <w:r w:rsidRPr="00F0674D">
        <w:rPr>
          <w:sz w:val="24"/>
          <w:szCs w:val="24"/>
          <w:lang w:val="pt-BR"/>
        </w:rPr>
        <w:t xml:space="preserve"> travestis</w:t>
      </w:r>
      <w:r w:rsidR="00DF732F">
        <w:rPr>
          <w:sz w:val="24"/>
          <w:szCs w:val="24"/>
          <w:lang w:val="pt-BR"/>
        </w:rPr>
        <w:t xml:space="preserve"> e não bináries</w:t>
      </w:r>
      <w:r w:rsidRPr="00F0674D">
        <w:rPr>
          <w:sz w:val="24"/>
          <w:szCs w:val="24"/>
          <w:lang w:val="pt-BR"/>
        </w:rPr>
        <w:t>.</w:t>
      </w:r>
    </w:p>
    <w:p w14:paraId="30708D1D" w14:textId="77777777" w:rsidR="00F0674D" w:rsidRPr="00F0674D" w:rsidRDefault="00F0674D" w:rsidP="00F0674D">
      <w:pPr>
        <w:spacing w:line="360" w:lineRule="auto"/>
        <w:ind w:firstLine="720"/>
        <w:jc w:val="both"/>
        <w:rPr>
          <w:sz w:val="24"/>
          <w:szCs w:val="24"/>
          <w:lang w:val="pt-BR"/>
        </w:rPr>
      </w:pPr>
      <w:r w:rsidRPr="00F0674D">
        <w:rPr>
          <w:sz w:val="24"/>
          <w:szCs w:val="24"/>
          <w:lang w:val="pt-BR"/>
        </w:rPr>
        <w:t>O argumento central converge, portanto, para o reconhecimento de uma convergência pragmática com a agenda neoconservadora. Ainda que partam de autodeclarações ideológicas distintas, ambos os discursos compartilham a fantasmatização do gênero como ameaça e a centralidade do sexo biológico como critério de verdade. Essa zona de interseção produz efeitos concretos: oferece verniz progressista a projetos de controle estatal e legitima políticas que aprofundam a exclusão da população LGBTI+. A lógica imunológica que pretende proteger um sujeito específico termina por fortalecer o aparato que regula e restringe direitos de todos os corpos dissidentes.</w:t>
      </w:r>
    </w:p>
    <w:p w14:paraId="68E27051" w14:textId="77777777" w:rsidR="00F0674D" w:rsidRPr="00F0674D" w:rsidRDefault="00F0674D" w:rsidP="00F0674D">
      <w:pPr>
        <w:spacing w:line="360" w:lineRule="auto"/>
        <w:ind w:firstLine="720"/>
        <w:jc w:val="both"/>
        <w:rPr>
          <w:sz w:val="24"/>
          <w:szCs w:val="24"/>
          <w:lang w:val="pt-BR"/>
        </w:rPr>
      </w:pPr>
      <w:r w:rsidRPr="00F0674D">
        <w:rPr>
          <w:sz w:val="24"/>
          <w:szCs w:val="24"/>
          <w:lang w:val="pt-BR"/>
        </w:rPr>
        <w:t>Diante desse cenário, a resposta não pode residir na reiteração de fronteiras identitárias naturalizadas. Se o problema central é a gestão diferencial da vida e o controle sobre regimes de visibilidade, a estratégia política necessária passa pela radicalização das alianças interseccionais. Isso implica reconhecer a interdependência das vulnerabilidades e enfrentar, simultaneamente, as fragmentações internas e as ofensivas externas aos direitos humanos.</w:t>
      </w:r>
    </w:p>
    <w:p w14:paraId="51FBCB03" w14:textId="41E5A853" w:rsidR="00F0674D" w:rsidRPr="00F0674D" w:rsidRDefault="00F0674D" w:rsidP="00F0674D">
      <w:pPr>
        <w:spacing w:line="360" w:lineRule="auto"/>
        <w:ind w:firstLine="720"/>
        <w:jc w:val="both"/>
        <w:rPr>
          <w:sz w:val="24"/>
          <w:szCs w:val="24"/>
          <w:lang w:val="pt-BR"/>
        </w:rPr>
      </w:pPr>
      <w:r w:rsidRPr="00F0674D">
        <w:rPr>
          <w:sz w:val="24"/>
          <w:szCs w:val="24"/>
          <w:lang w:val="pt-BR"/>
        </w:rPr>
        <w:t xml:space="preserve">A disputa, nesse sentido, é tanto institucional quanto simbólica. Exige presença estratégica em arenas formais de formulação de políticas públicas, mas também a afirmação contínua da visibilidade nas ruas, na cultura e na esfera pública. Práticas coletivas como as </w:t>
      </w:r>
      <w:r w:rsidR="00376B28">
        <w:rPr>
          <w:sz w:val="24"/>
          <w:szCs w:val="24"/>
          <w:lang w:val="pt-BR"/>
        </w:rPr>
        <w:t>P</w:t>
      </w:r>
      <w:r w:rsidRPr="00F0674D">
        <w:rPr>
          <w:sz w:val="24"/>
          <w:szCs w:val="24"/>
          <w:lang w:val="pt-BR"/>
        </w:rPr>
        <w:t>aradas LGBTI+</w:t>
      </w:r>
      <w:r w:rsidR="00376B28">
        <w:rPr>
          <w:sz w:val="24"/>
          <w:szCs w:val="24"/>
          <w:lang w:val="pt-BR"/>
        </w:rPr>
        <w:t xml:space="preserve"> e Marchas Trans</w:t>
      </w:r>
      <w:r w:rsidRPr="00F0674D">
        <w:rPr>
          <w:sz w:val="24"/>
          <w:szCs w:val="24"/>
          <w:lang w:val="pt-BR"/>
        </w:rPr>
        <w:t xml:space="preserve"> tornam-se, assim, mais do que celebrações: constituem intervenções políticas que desafiam regimes de aparecimento restritivos e reivindicam o direito inegociável à existência pública.</w:t>
      </w:r>
    </w:p>
    <w:p w14:paraId="61226F46" w14:textId="518491D4" w:rsidR="00EC1B92" w:rsidRPr="00EC1B92" w:rsidRDefault="00F0674D" w:rsidP="00F0674D">
      <w:pPr>
        <w:spacing w:line="360" w:lineRule="auto"/>
        <w:ind w:firstLine="720"/>
        <w:jc w:val="both"/>
        <w:rPr>
          <w:sz w:val="24"/>
          <w:szCs w:val="24"/>
          <w:lang w:val="pt-BR"/>
        </w:rPr>
      </w:pPr>
      <w:r w:rsidRPr="007610DD">
        <w:rPr>
          <w:sz w:val="24"/>
          <w:szCs w:val="24"/>
          <w:lang w:val="pt-BR"/>
        </w:rPr>
        <w:t xml:space="preserve">Superar o cis-separatismo é, portanto, tarefa teórica e urgência ética. Trata-se de recusar a biologização do destino como horizonte normativo e afirmar uma política fundada na solidariedade radical, capaz de confrontar as engrenagens contemporâneas de exclusão e morte. Somente a partir dessa rearticulação será possível desativar as convergências que hoje alimentam o avanço antigênero e reconstruir um projeto feminista comprometido com a ampliação </w:t>
      </w:r>
      <w:r w:rsidR="00767CBF">
        <w:rPr>
          <w:sz w:val="24"/>
          <w:szCs w:val="24"/>
          <w:lang w:val="pt-BR"/>
        </w:rPr>
        <w:t>–</w:t>
      </w:r>
      <w:r w:rsidRPr="007610DD">
        <w:rPr>
          <w:sz w:val="24"/>
          <w:szCs w:val="24"/>
          <w:lang w:val="pt-BR"/>
        </w:rPr>
        <w:t xml:space="preserve"> e não a restrição </w:t>
      </w:r>
      <w:r w:rsidR="00767CBF">
        <w:rPr>
          <w:sz w:val="24"/>
          <w:szCs w:val="24"/>
          <w:lang w:val="pt-BR"/>
        </w:rPr>
        <w:t>–</w:t>
      </w:r>
      <w:r w:rsidRPr="007610DD">
        <w:rPr>
          <w:sz w:val="24"/>
          <w:szCs w:val="24"/>
          <w:lang w:val="pt-BR"/>
        </w:rPr>
        <w:t xml:space="preserve"> do</w:t>
      </w:r>
      <w:r w:rsidR="00767CBF">
        <w:rPr>
          <w:sz w:val="24"/>
          <w:szCs w:val="24"/>
          <w:lang w:val="pt-BR"/>
        </w:rPr>
        <w:t xml:space="preserve"> </w:t>
      </w:r>
      <w:r w:rsidRPr="007610DD">
        <w:rPr>
          <w:sz w:val="24"/>
          <w:szCs w:val="24"/>
          <w:lang w:val="pt-BR"/>
        </w:rPr>
        <w:t>campo da humanidade reconhecida</w:t>
      </w:r>
      <w:r w:rsidR="00767CBF">
        <w:rPr>
          <w:sz w:val="24"/>
          <w:szCs w:val="24"/>
          <w:lang w:val="pt-BR"/>
        </w:rPr>
        <w:t>.</w:t>
      </w:r>
    </w:p>
    <w:p w14:paraId="47E140DB" w14:textId="77777777" w:rsidR="00C9044E" w:rsidRDefault="00C9044E" w:rsidP="002F66F0">
      <w:pPr>
        <w:spacing w:line="360" w:lineRule="auto"/>
        <w:jc w:val="both"/>
        <w:rPr>
          <w:sz w:val="24"/>
          <w:szCs w:val="24"/>
          <w:lang w:val="pt-BR"/>
        </w:rPr>
      </w:pPr>
    </w:p>
    <w:p w14:paraId="57B485CF" w14:textId="77777777" w:rsidR="00546FD4" w:rsidRDefault="00546FD4" w:rsidP="00C9044E">
      <w:pPr>
        <w:spacing w:line="360" w:lineRule="auto"/>
        <w:jc w:val="both"/>
        <w:rPr>
          <w:b/>
          <w:bCs/>
          <w:sz w:val="24"/>
          <w:szCs w:val="24"/>
          <w:lang w:val="en-US"/>
        </w:rPr>
      </w:pPr>
    </w:p>
    <w:p w14:paraId="5EAED725" w14:textId="77777777" w:rsidR="00546FD4" w:rsidRDefault="00546FD4" w:rsidP="00C9044E">
      <w:pPr>
        <w:spacing w:line="360" w:lineRule="auto"/>
        <w:jc w:val="both"/>
        <w:rPr>
          <w:b/>
          <w:bCs/>
          <w:sz w:val="24"/>
          <w:szCs w:val="24"/>
          <w:lang w:val="en-US"/>
        </w:rPr>
      </w:pPr>
    </w:p>
    <w:p w14:paraId="082D16FE" w14:textId="437E4877" w:rsidR="00C9044E" w:rsidRPr="00C9044E" w:rsidRDefault="00C9044E" w:rsidP="00C9044E">
      <w:pPr>
        <w:spacing w:line="360" w:lineRule="auto"/>
        <w:jc w:val="both"/>
        <w:rPr>
          <w:b/>
          <w:bCs/>
          <w:sz w:val="24"/>
          <w:szCs w:val="24"/>
          <w:lang w:val="en-US"/>
        </w:rPr>
      </w:pPr>
      <w:proofErr w:type="spellStart"/>
      <w:r w:rsidRPr="00DC10C6">
        <w:rPr>
          <w:b/>
          <w:bCs/>
          <w:sz w:val="24"/>
          <w:szCs w:val="24"/>
          <w:lang w:val="en-US"/>
        </w:rPr>
        <w:lastRenderedPageBreak/>
        <w:t>REFERÊNCIAS</w:t>
      </w:r>
      <w:proofErr w:type="spellEnd"/>
    </w:p>
    <w:p w14:paraId="707FFB57" w14:textId="77777777" w:rsidR="0080590B" w:rsidRPr="00DC10C6" w:rsidRDefault="006A66FA" w:rsidP="0080590B">
      <w:pPr>
        <w:pStyle w:val="Bibliografia"/>
        <w:rPr>
          <w:sz w:val="24"/>
          <w:lang w:val="en-US"/>
        </w:rPr>
      </w:pPr>
      <w:r>
        <w:rPr>
          <w:lang w:val="pt-BR"/>
        </w:rPr>
        <w:fldChar w:fldCharType="begin"/>
      </w:r>
      <w:r w:rsidR="00767CBF">
        <w:rPr>
          <w:lang w:val="en-US"/>
        </w:rPr>
        <w:instrText xml:space="preserve"> ADDIN ZOTERO_BIBL {"uncited":[],"omitted":[],"custom":[]} CSL_BIBLIOGRAPHY </w:instrText>
      </w:r>
      <w:r>
        <w:rPr>
          <w:lang w:val="pt-BR"/>
        </w:rPr>
        <w:fldChar w:fldCharType="separate"/>
      </w:r>
      <w:r w:rsidR="0080590B" w:rsidRPr="0080590B">
        <w:rPr>
          <w:sz w:val="24"/>
          <w:lang w:val="en-US"/>
        </w:rPr>
        <w:t xml:space="preserve">AHMED, Sara. </w:t>
      </w:r>
      <w:r w:rsidR="0080590B" w:rsidRPr="0080590B">
        <w:rPr>
          <w:b/>
          <w:bCs/>
          <w:sz w:val="24"/>
          <w:lang w:val="en-US"/>
        </w:rPr>
        <w:t>Cultural Politics of Emotion</w:t>
      </w:r>
      <w:r w:rsidR="0080590B" w:rsidRPr="0080590B">
        <w:rPr>
          <w:sz w:val="24"/>
          <w:lang w:val="en-US"/>
        </w:rPr>
        <w:t xml:space="preserve">. </w:t>
      </w:r>
      <w:r w:rsidR="0080590B" w:rsidRPr="00DC10C6">
        <w:rPr>
          <w:sz w:val="24"/>
          <w:lang w:val="en-US"/>
        </w:rPr>
        <w:t xml:space="preserve">1. ed. Edinburgh: EUP, 2014. </w:t>
      </w:r>
    </w:p>
    <w:p w14:paraId="78DA355C" w14:textId="77777777" w:rsidR="0080590B" w:rsidRPr="0080590B" w:rsidRDefault="0080590B" w:rsidP="0080590B">
      <w:pPr>
        <w:pStyle w:val="Bibliografia"/>
        <w:rPr>
          <w:sz w:val="24"/>
        </w:rPr>
      </w:pPr>
      <w:r w:rsidRPr="0080590B">
        <w:rPr>
          <w:sz w:val="24"/>
        </w:rPr>
        <w:t xml:space="preserve">BENEVIDES, Bruna G. </w:t>
      </w:r>
      <w:r w:rsidRPr="0080590B">
        <w:rPr>
          <w:b/>
          <w:bCs/>
          <w:sz w:val="24"/>
        </w:rPr>
        <w:t>Dossiê: Assassinatos e violências contra travestis e transexuais brasileiras em 2024</w:t>
      </w:r>
      <w:r w:rsidRPr="0080590B">
        <w:rPr>
          <w:sz w:val="24"/>
        </w:rPr>
        <w:t xml:space="preserve">. Brasília, DF: Distrito Drag, 2025. </w:t>
      </w:r>
    </w:p>
    <w:p w14:paraId="663DF4E5" w14:textId="77777777" w:rsidR="0080590B" w:rsidRPr="0080590B" w:rsidRDefault="0080590B" w:rsidP="0080590B">
      <w:pPr>
        <w:pStyle w:val="Bibliografia"/>
        <w:rPr>
          <w:sz w:val="24"/>
        </w:rPr>
      </w:pPr>
      <w:r w:rsidRPr="0080590B">
        <w:rPr>
          <w:sz w:val="24"/>
        </w:rPr>
        <w:t xml:space="preserve">BENTO, Berenice. </w:t>
      </w:r>
      <w:r w:rsidRPr="0080590B">
        <w:rPr>
          <w:b/>
          <w:bCs/>
          <w:sz w:val="24"/>
        </w:rPr>
        <w:t xml:space="preserve">A reinvenção do corpo: </w:t>
      </w:r>
      <w:r w:rsidRPr="00546FD4">
        <w:rPr>
          <w:sz w:val="24"/>
        </w:rPr>
        <w:t>sexualidade e gênero na experiência transexual</w:t>
      </w:r>
      <w:r w:rsidRPr="0080590B">
        <w:rPr>
          <w:sz w:val="24"/>
        </w:rPr>
        <w:t>. [</w:t>
      </w:r>
      <w:r w:rsidRPr="0080590B">
        <w:rPr>
          <w:i/>
          <w:iCs/>
          <w:sz w:val="24"/>
        </w:rPr>
        <w:t>S. l.</w:t>
      </w:r>
      <w:r w:rsidRPr="0080590B">
        <w:rPr>
          <w:sz w:val="24"/>
        </w:rPr>
        <w:t xml:space="preserve">]: Editora Devires, 2017. </w:t>
      </w:r>
    </w:p>
    <w:p w14:paraId="71E8D360" w14:textId="77777777" w:rsidR="0080590B" w:rsidRPr="0080590B" w:rsidRDefault="0080590B" w:rsidP="0080590B">
      <w:pPr>
        <w:pStyle w:val="Bibliografia"/>
        <w:rPr>
          <w:sz w:val="24"/>
        </w:rPr>
      </w:pPr>
      <w:r w:rsidRPr="0080590B">
        <w:rPr>
          <w:sz w:val="24"/>
        </w:rPr>
        <w:t xml:space="preserve">BIROLI, Flávia. </w:t>
      </w:r>
      <w:r w:rsidRPr="0080590B">
        <w:rPr>
          <w:b/>
          <w:bCs/>
          <w:sz w:val="24"/>
        </w:rPr>
        <w:t xml:space="preserve">Gênero e Desigualdades: </w:t>
      </w:r>
      <w:r w:rsidRPr="00546FD4">
        <w:rPr>
          <w:sz w:val="24"/>
        </w:rPr>
        <w:t>Limites da Democracia no Brasil</w:t>
      </w:r>
      <w:r w:rsidRPr="0080590B">
        <w:rPr>
          <w:sz w:val="24"/>
        </w:rPr>
        <w:t xml:space="preserve">. 1. ed. São Paulo, SP: Boitempo Editorial, 2018. </w:t>
      </w:r>
    </w:p>
    <w:p w14:paraId="0C01F015" w14:textId="77777777" w:rsidR="0080590B" w:rsidRPr="0080590B" w:rsidRDefault="0080590B" w:rsidP="0080590B">
      <w:pPr>
        <w:pStyle w:val="Bibliografia"/>
        <w:rPr>
          <w:sz w:val="24"/>
        </w:rPr>
      </w:pPr>
      <w:r w:rsidRPr="0080590B">
        <w:rPr>
          <w:sz w:val="24"/>
        </w:rPr>
        <w:t xml:space="preserve">BONADIO, Mariana Galacini. A vida pública da privada: ambivalências feministas nos banheiros públicos. </w:t>
      </w:r>
      <w:r w:rsidRPr="0080590B">
        <w:rPr>
          <w:b/>
          <w:bCs/>
          <w:sz w:val="24"/>
        </w:rPr>
        <w:t>Revista Periódicus</w:t>
      </w:r>
      <w:r w:rsidRPr="0080590B">
        <w:rPr>
          <w:sz w:val="24"/>
        </w:rPr>
        <w:t>, [</w:t>
      </w:r>
      <w:r w:rsidRPr="0080590B">
        <w:rPr>
          <w:i/>
          <w:iCs/>
          <w:sz w:val="24"/>
        </w:rPr>
        <w:t>s. l.</w:t>
      </w:r>
      <w:r w:rsidRPr="0080590B">
        <w:rPr>
          <w:sz w:val="24"/>
        </w:rPr>
        <w:t xml:space="preserve">], v. 3, n. 21, p. 115–140, 2025. </w:t>
      </w:r>
    </w:p>
    <w:p w14:paraId="4163FFD0" w14:textId="77777777" w:rsidR="0080590B" w:rsidRPr="0080590B" w:rsidRDefault="0080590B" w:rsidP="0080590B">
      <w:pPr>
        <w:pStyle w:val="Bibliografia"/>
        <w:rPr>
          <w:sz w:val="24"/>
        </w:rPr>
      </w:pPr>
      <w:r w:rsidRPr="0080590B">
        <w:rPr>
          <w:sz w:val="24"/>
        </w:rPr>
        <w:t xml:space="preserve">BUTLER, Judith. </w:t>
      </w:r>
      <w:r w:rsidRPr="0080590B">
        <w:rPr>
          <w:b/>
          <w:bCs/>
          <w:sz w:val="24"/>
        </w:rPr>
        <w:t>Quem tem Medo do Gênero?</w:t>
      </w:r>
      <w:r w:rsidRPr="0080590B">
        <w:rPr>
          <w:sz w:val="24"/>
        </w:rPr>
        <w:t xml:space="preserve"> 1. ed. São Paulo: Boitempo Editorial, 2024. </w:t>
      </w:r>
    </w:p>
    <w:p w14:paraId="3459B285" w14:textId="77777777" w:rsidR="0080590B" w:rsidRPr="0080590B" w:rsidRDefault="0080590B" w:rsidP="0080590B">
      <w:pPr>
        <w:pStyle w:val="Bibliografia"/>
        <w:rPr>
          <w:sz w:val="24"/>
          <w:lang w:val="en-US"/>
        </w:rPr>
      </w:pPr>
      <w:r w:rsidRPr="0080590B">
        <w:rPr>
          <w:sz w:val="24"/>
          <w:lang w:val="en-US"/>
        </w:rPr>
        <w:t xml:space="preserve">COHEN, Stanley. </w:t>
      </w:r>
      <w:r w:rsidRPr="0080590B">
        <w:rPr>
          <w:b/>
          <w:bCs/>
          <w:sz w:val="24"/>
          <w:lang w:val="en-US"/>
        </w:rPr>
        <w:t xml:space="preserve">Folk Devils and Moral Panics: </w:t>
      </w:r>
      <w:r w:rsidRPr="00546FD4">
        <w:rPr>
          <w:sz w:val="24"/>
          <w:lang w:val="en-US"/>
        </w:rPr>
        <w:t>The Creation of the Mods and Rockers</w:t>
      </w:r>
      <w:r w:rsidRPr="0080590B">
        <w:rPr>
          <w:sz w:val="24"/>
          <w:lang w:val="en-US"/>
        </w:rPr>
        <w:t xml:space="preserve">. 1. ed. Abingdon, Oxon ; New York: Taylor &amp; Francis Ltd, 2011. </w:t>
      </w:r>
    </w:p>
    <w:p w14:paraId="702257A1" w14:textId="77777777" w:rsidR="0080590B" w:rsidRPr="0080590B" w:rsidRDefault="0080590B" w:rsidP="0080590B">
      <w:pPr>
        <w:pStyle w:val="Bibliografia"/>
        <w:rPr>
          <w:sz w:val="24"/>
        </w:rPr>
      </w:pPr>
      <w:r w:rsidRPr="0080590B">
        <w:rPr>
          <w:sz w:val="24"/>
          <w:lang w:val="en-US"/>
        </w:rPr>
        <w:t xml:space="preserve">CORRÊA, Sonia; RODRIGUES, Carla. </w:t>
      </w:r>
      <w:r w:rsidRPr="0080590B">
        <w:rPr>
          <w:sz w:val="24"/>
        </w:rPr>
        <w:t xml:space="preserve">Apresentando “Terfs, movimentos críticos do gênero e feminismos pós-fascistas”. </w:t>
      </w:r>
      <w:r w:rsidRPr="0080590B">
        <w:rPr>
          <w:b/>
          <w:bCs/>
          <w:sz w:val="24"/>
        </w:rPr>
        <w:t>Cadernos Pagu</w:t>
      </w:r>
      <w:r w:rsidRPr="0080590B">
        <w:rPr>
          <w:sz w:val="24"/>
        </w:rPr>
        <w:t>, [</w:t>
      </w:r>
      <w:r w:rsidRPr="0080590B">
        <w:rPr>
          <w:i/>
          <w:iCs/>
          <w:sz w:val="24"/>
        </w:rPr>
        <w:t>s. l.</w:t>
      </w:r>
      <w:r w:rsidRPr="0080590B">
        <w:rPr>
          <w:sz w:val="24"/>
        </w:rPr>
        <w:t xml:space="preserve">], n. 68, p. e236801, 2023. </w:t>
      </w:r>
    </w:p>
    <w:p w14:paraId="7088A7FB" w14:textId="77777777" w:rsidR="0080590B" w:rsidRPr="0080590B" w:rsidRDefault="0080590B" w:rsidP="0080590B">
      <w:pPr>
        <w:pStyle w:val="Bibliografia"/>
        <w:rPr>
          <w:sz w:val="24"/>
        </w:rPr>
      </w:pPr>
      <w:r w:rsidRPr="0080590B">
        <w:rPr>
          <w:sz w:val="24"/>
        </w:rPr>
        <w:t xml:space="preserve">CYRINO, Rafaela. A deriva transfóbica do feminismo radical dos anos 1970. </w:t>
      </w:r>
      <w:r w:rsidRPr="0080590B">
        <w:rPr>
          <w:b/>
          <w:bCs/>
          <w:sz w:val="24"/>
        </w:rPr>
        <w:t>Varia Historia</w:t>
      </w:r>
      <w:r w:rsidRPr="0080590B">
        <w:rPr>
          <w:sz w:val="24"/>
        </w:rPr>
        <w:t>, [</w:t>
      </w:r>
      <w:r w:rsidRPr="0080590B">
        <w:rPr>
          <w:i/>
          <w:iCs/>
          <w:sz w:val="24"/>
        </w:rPr>
        <w:t>s. l.</w:t>
      </w:r>
      <w:r w:rsidRPr="0080590B">
        <w:rPr>
          <w:sz w:val="24"/>
        </w:rPr>
        <w:t xml:space="preserve">], v. 39, n. 79, p. e23107, 2023. </w:t>
      </w:r>
    </w:p>
    <w:p w14:paraId="45A148FC" w14:textId="77777777" w:rsidR="0080590B" w:rsidRPr="0080590B" w:rsidRDefault="0080590B" w:rsidP="0080590B">
      <w:pPr>
        <w:pStyle w:val="Bibliografia"/>
        <w:rPr>
          <w:sz w:val="24"/>
        </w:rPr>
      </w:pPr>
      <w:r w:rsidRPr="0080590B">
        <w:rPr>
          <w:sz w:val="24"/>
        </w:rPr>
        <w:t xml:space="preserve">ESPOSITO, Roberto. </w:t>
      </w:r>
      <w:r w:rsidRPr="0080590B">
        <w:rPr>
          <w:b/>
          <w:bCs/>
          <w:sz w:val="24"/>
        </w:rPr>
        <w:t xml:space="preserve">Bios: </w:t>
      </w:r>
      <w:r w:rsidRPr="001779C1">
        <w:rPr>
          <w:sz w:val="24"/>
        </w:rPr>
        <w:t>Biopolítica e Filosofia</w:t>
      </w:r>
      <w:r w:rsidRPr="0080590B">
        <w:rPr>
          <w:sz w:val="24"/>
        </w:rPr>
        <w:t xml:space="preserve">. 1. ed. Coimbra: Edições 70, 2010. </w:t>
      </w:r>
    </w:p>
    <w:p w14:paraId="76FAA899" w14:textId="77777777" w:rsidR="0080590B" w:rsidRPr="0080590B" w:rsidRDefault="0080590B" w:rsidP="0080590B">
      <w:pPr>
        <w:pStyle w:val="Bibliografia"/>
        <w:rPr>
          <w:sz w:val="24"/>
        </w:rPr>
      </w:pPr>
      <w:r w:rsidRPr="0080590B">
        <w:rPr>
          <w:sz w:val="24"/>
        </w:rPr>
        <w:t xml:space="preserve">LUGONES, María. Colonialidad y Género. </w:t>
      </w:r>
      <w:r w:rsidRPr="0080590B">
        <w:rPr>
          <w:b/>
          <w:bCs/>
          <w:sz w:val="24"/>
        </w:rPr>
        <w:t>Tabula Rasa</w:t>
      </w:r>
      <w:r w:rsidRPr="0080590B">
        <w:rPr>
          <w:sz w:val="24"/>
        </w:rPr>
        <w:t xml:space="preserve">, Bogotá, n. 9, p. 73–102, 2008. </w:t>
      </w:r>
    </w:p>
    <w:p w14:paraId="0922E90D" w14:textId="77777777" w:rsidR="0080590B" w:rsidRPr="0080590B" w:rsidRDefault="0080590B" w:rsidP="0080590B">
      <w:pPr>
        <w:pStyle w:val="Bibliografia"/>
        <w:rPr>
          <w:sz w:val="24"/>
        </w:rPr>
      </w:pPr>
      <w:r w:rsidRPr="0080590B">
        <w:rPr>
          <w:sz w:val="24"/>
        </w:rPr>
        <w:t xml:space="preserve">NASCIMENTO, Letícia. </w:t>
      </w:r>
      <w:r w:rsidRPr="0080590B">
        <w:rPr>
          <w:b/>
          <w:bCs/>
          <w:sz w:val="24"/>
        </w:rPr>
        <w:t>Transfeminismo</w:t>
      </w:r>
      <w:r w:rsidRPr="0080590B">
        <w:rPr>
          <w:sz w:val="24"/>
        </w:rPr>
        <w:t xml:space="preserve">. 1. ed. São Paulo: Jandaíra, 2021. </w:t>
      </w:r>
    </w:p>
    <w:p w14:paraId="1B5347C1" w14:textId="77777777" w:rsidR="0080590B" w:rsidRPr="0080590B" w:rsidRDefault="0080590B" w:rsidP="0080590B">
      <w:pPr>
        <w:pStyle w:val="Bibliografia"/>
        <w:rPr>
          <w:sz w:val="24"/>
        </w:rPr>
      </w:pPr>
      <w:r w:rsidRPr="0080590B">
        <w:rPr>
          <w:sz w:val="24"/>
        </w:rPr>
        <w:t xml:space="preserve">PRECIADO, Paul B. </w:t>
      </w:r>
      <w:r w:rsidRPr="0080590B">
        <w:rPr>
          <w:b/>
          <w:bCs/>
          <w:sz w:val="24"/>
        </w:rPr>
        <w:t xml:space="preserve">Um apartamento em Urano: </w:t>
      </w:r>
      <w:r w:rsidRPr="001779C1">
        <w:rPr>
          <w:sz w:val="24"/>
        </w:rPr>
        <w:t>Crônicas da travessia</w:t>
      </w:r>
      <w:r w:rsidRPr="0080590B">
        <w:rPr>
          <w:sz w:val="24"/>
        </w:rPr>
        <w:t xml:space="preserve">. 1. ed. Rio de Janeiro, RJ: Zahar, 2021. </w:t>
      </w:r>
    </w:p>
    <w:p w14:paraId="64F47B25" w14:textId="77777777" w:rsidR="0080590B" w:rsidRPr="0080590B" w:rsidRDefault="0080590B" w:rsidP="0080590B">
      <w:pPr>
        <w:pStyle w:val="Bibliografia"/>
        <w:rPr>
          <w:sz w:val="24"/>
        </w:rPr>
      </w:pPr>
      <w:r w:rsidRPr="0080590B">
        <w:rPr>
          <w:sz w:val="24"/>
        </w:rPr>
        <w:t xml:space="preserve">RUBIN, Gayle. </w:t>
      </w:r>
      <w:r w:rsidRPr="0080590B">
        <w:rPr>
          <w:b/>
          <w:bCs/>
          <w:sz w:val="24"/>
        </w:rPr>
        <w:t>Políticas do sexo</w:t>
      </w:r>
      <w:r w:rsidRPr="0080590B">
        <w:rPr>
          <w:sz w:val="24"/>
        </w:rPr>
        <w:t>. 1. ed. [</w:t>
      </w:r>
      <w:r w:rsidRPr="0080590B">
        <w:rPr>
          <w:i/>
          <w:iCs/>
          <w:sz w:val="24"/>
        </w:rPr>
        <w:t>S. l.</w:t>
      </w:r>
      <w:r w:rsidRPr="0080590B">
        <w:rPr>
          <w:sz w:val="24"/>
        </w:rPr>
        <w:t xml:space="preserve">]: Ubu Editora, 2017. </w:t>
      </w:r>
    </w:p>
    <w:p w14:paraId="122537F3" w14:textId="77777777" w:rsidR="0080590B" w:rsidRPr="0080590B" w:rsidRDefault="0080590B" w:rsidP="0080590B">
      <w:pPr>
        <w:pStyle w:val="Bibliografia"/>
        <w:rPr>
          <w:sz w:val="24"/>
        </w:rPr>
      </w:pPr>
      <w:r w:rsidRPr="0080590B">
        <w:rPr>
          <w:sz w:val="24"/>
        </w:rPr>
        <w:t xml:space="preserve">VERGUEIRO, Viviane. </w:t>
      </w:r>
      <w:r w:rsidRPr="0080590B">
        <w:rPr>
          <w:b/>
          <w:bCs/>
          <w:sz w:val="24"/>
        </w:rPr>
        <w:t xml:space="preserve">Por inflexões decoloniais de corpos e identidades de gênero inconformes: </w:t>
      </w:r>
      <w:r w:rsidRPr="001779C1">
        <w:rPr>
          <w:sz w:val="24"/>
        </w:rPr>
        <w:t>uma análise autoetnográfica da cisgeneridade como normatividade</w:t>
      </w:r>
      <w:r w:rsidRPr="0080590B">
        <w:rPr>
          <w:sz w:val="24"/>
        </w:rPr>
        <w:t xml:space="preserve">. 1. ed. Salvador: Editora da UFBA, 2024. </w:t>
      </w:r>
    </w:p>
    <w:p w14:paraId="5EB7F1EA" w14:textId="61FC0185" w:rsidR="00244389" w:rsidRPr="00C9044E" w:rsidRDefault="006A66FA" w:rsidP="006A66FA">
      <w:pPr>
        <w:spacing w:line="360" w:lineRule="auto"/>
        <w:jc w:val="both"/>
        <w:rPr>
          <w:sz w:val="24"/>
          <w:szCs w:val="24"/>
          <w:lang w:val="pt-BR"/>
        </w:rPr>
      </w:pPr>
      <w:r>
        <w:rPr>
          <w:sz w:val="24"/>
          <w:szCs w:val="24"/>
          <w:lang w:val="pt-BR"/>
        </w:rPr>
        <w:fldChar w:fldCharType="end"/>
      </w:r>
    </w:p>
    <w:p w14:paraId="168AC970" w14:textId="77777777" w:rsidR="00EC1B92" w:rsidRPr="002F66F0" w:rsidRDefault="00EC1B92" w:rsidP="002F66F0">
      <w:pPr>
        <w:spacing w:line="360" w:lineRule="auto"/>
        <w:jc w:val="both"/>
        <w:rPr>
          <w:sz w:val="24"/>
          <w:szCs w:val="24"/>
          <w:lang w:val="pt-BR"/>
        </w:rPr>
      </w:pPr>
    </w:p>
    <w:sectPr w:rsidR="00EC1B92" w:rsidRPr="002F66F0">
      <w:headerReference w:type="default" r:id="rId9"/>
      <w:footerReference w:type="default" r:id="rId10"/>
      <w:pgSz w:w="11910" w:h="16840"/>
      <w:pgMar w:top="391" w:right="1298" w:bottom="278" w:left="1599" w:header="159" w:footer="39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79C12" w14:textId="77777777" w:rsidR="00F654F7" w:rsidRDefault="00F654F7">
      <w:r>
        <w:separator/>
      </w:r>
    </w:p>
  </w:endnote>
  <w:endnote w:type="continuationSeparator" w:id="0">
    <w:p w14:paraId="7CFB2B26" w14:textId="77777777" w:rsidR="00F654F7" w:rsidRDefault="00F6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F518E762-7AD9-435A-B9BA-D8B7A88959D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ABCEC4D-F73A-458B-ABB6-C4B997C58C29}"/>
    <w:embedBold r:id="rId3" w:fontKey="{DA8FCA69-D93D-4B29-A1D8-BB5DB816D689}"/>
  </w:font>
  <w:font w:name="Georgia">
    <w:panose1 w:val="02040502050405020303"/>
    <w:charset w:val="00"/>
    <w:family w:val="roman"/>
    <w:pitch w:val="variable"/>
    <w:sig w:usb0="00000287" w:usb1="00000000" w:usb2="00000000" w:usb3="00000000" w:csb0="0000009F" w:csb1="00000000"/>
    <w:embedItalic r:id="rId4" w:fontKey="{B90B1A31-7B0A-42AB-93F8-BB728CC228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77A99" w14:textId="77777777" w:rsidR="009C3E7D" w:rsidRDefault="00000000">
    <w:pPr>
      <w:spacing w:before="96" w:line="183" w:lineRule="auto"/>
      <w:ind w:left="172" w:right="471"/>
      <w:jc w:val="center"/>
      <w:rPr>
        <w:sz w:val="16"/>
        <w:szCs w:val="16"/>
      </w:rPr>
    </w:pPr>
    <w:r>
      <w:rPr>
        <w:sz w:val="16"/>
        <w:szCs w:val="16"/>
      </w:rPr>
      <w:t>Anais do II Simpósio Internacional Práxis Itinerante: Juventudes e Direitos Humanos</w:t>
    </w:r>
  </w:p>
  <w:p w14:paraId="58B71500" w14:textId="77777777" w:rsidR="009C3E7D" w:rsidRDefault="00000000">
    <w:pPr>
      <w:spacing w:line="183" w:lineRule="auto"/>
      <w:ind w:left="172" w:right="179"/>
      <w:jc w:val="center"/>
      <w:rPr>
        <w:color w:val="000000"/>
        <w:sz w:val="15"/>
        <w:szCs w:val="15"/>
      </w:rPr>
    </w:pPr>
    <w:r>
      <w:rPr>
        <w:sz w:val="16"/>
        <w:szCs w:val="16"/>
      </w:rPr>
      <w:t xml:space="preserve">13 a 15 de abril de 2026, UEL – Paraná </w:t>
    </w:r>
    <w:r>
      <w:rPr>
        <w:noProof/>
      </w:rPr>
      <w:drawing>
        <wp:anchor distT="0" distB="0" distL="0" distR="0" simplePos="0" relativeHeight="251659264" behindDoc="0" locked="0" layoutInCell="1" hidden="0" allowOverlap="1" wp14:anchorId="4020F71D" wp14:editId="4BB4EB20">
          <wp:simplePos x="0" y="0"/>
          <wp:positionH relativeFrom="column">
            <wp:posOffset>3628720</wp:posOffset>
          </wp:positionH>
          <wp:positionV relativeFrom="paragraph">
            <wp:posOffset>138430</wp:posOffset>
          </wp:positionV>
          <wp:extent cx="1223010" cy="528320"/>
          <wp:effectExtent l="0" t="0" r="0" b="0"/>
          <wp:wrapNone/>
          <wp:docPr id="1441755173" name="image2.png" descr="Uma imagem contendo placa, desenho, perto, rua&#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Uma imagem contendo placa, desenho, perto, rua&#10;&#10;Descrição gerada automaticamente"/>
                  <pic:cNvPicPr preferRelativeResize="0"/>
                </pic:nvPicPr>
                <pic:blipFill>
                  <a:blip r:embed="rId1"/>
                  <a:srcRect/>
                  <a:stretch>
                    <a:fillRect/>
                  </a:stretch>
                </pic:blipFill>
                <pic:spPr>
                  <a:xfrm>
                    <a:off x="0" y="0"/>
                    <a:ext cx="1223010" cy="528320"/>
                  </a:xfrm>
                  <a:prstGeom prst="rect">
                    <a:avLst/>
                  </a:prstGeom>
                  <a:ln/>
                </pic:spPr>
              </pic:pic>
            </a:graphicData>
          </a:graphic>
        </wp:anchor>
      </w:drawing>
    </w:r>
    <w:r>
      <w:rPr>
        <w:noProof/>
      </w:rPr>
      <w:drawing>
        <wp:anchor distT="0" distB="0" distL="0" distR="0" simplePos="0" relativeHeight="251660288" behindDoc="0" locked="0" layoutInCell="1" hidden="0" allowOverlap="1" wp14:anchorId="76AD116C" wp14:editId="68826487">
          <wp:simplePos x="0" y="0"/>
          <wp:positionH relativeFrom="column">
            <wp:posOffset>-94588</wp:posOffset>
          </wp:positionH>
          <wp:positionV relativeFrom="paragraph">
            <wp:posOffset>150419</wp:posOffset>
          </wp:positionV>
          <wp:extent cx="1243330" cy="537210"/>
          <wp:effectExtent l="0" t="0" r="0" b="0"/>
          <wp:wrapTopAndBottom distT="0" distB="0"/>
          <wp:docPr id="144175517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
                  <a:srcRect/>
                  <a:stretch>
                    <a:fillRect/>
                  </a:stretch>
                </pic:blipFill>
                <pic:spPr>
                  <a:xfrm>
                    <a:off x="0" y="0"/>
                    <a:ext cx="1243330" cy="537210"/>
                  </a:xfrm>
                  <a:prstGeom prst="rect">
                    <a:avLst/>
                  </a:prstGeom>
                  <a:ln/>
                </pic:spPr>
              </pic:pic>
            </a:graphicData>
          </a:graphic>
        </wp:anchor>
      </w:drawing>
    </w:r>
    <w:r>
      <w:rPr>
        <w:noProof/>
      </w:rPr>
      <w:drawing>
        <wp:anchor distT="0" distB="0" distL="0" distR="0" simplePos="0" relativeHeight="251661312" behindDoc="0" locked="0" layoutInCell="1" hidden="0" allowOverlap="1" wp14:anchorId="6D577877" wp14:editId="4FB55CDF">
          <wp:simplePos x="0" y="0"/>
          <wp:positionH relativeFrom="column">
            <wp:posOffset>1319860</wp:posOffset>
          </wp:positionH>
          <wp:positionV relativeFrom="paragraph">
            <wp:posOffset>108585</wp:posOffset>
          </wp:positionV>
          <wp:extent cx="824865" cy="568960"/>
          <wp:effectExtent l="0" t="0" r="0" b="0"/>
          <wp:wrapNone/>
          <wp:docPr id="14417551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824865" cy="56896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7BB8C9B9" wp14:editId="7B1FC1ED">
          <wp:simplePos x="0" y="0"/>
          <wp:positionH relativeFrom="column">
            <wp:posOffset>2391740</wp:posOffset>
          </wp:positionH>
          <wp:positionV relativeFrom="paragraph">
            <wp:posOffset>85090</wp:posOffset>
          </wp:positionV>
          <wp:extent cx="982345" cy="629920"/>
          <wp:effectExtent l="0" t="0" r="0" b="0"/>
          <wp:wrapNone/>
          <wp:docPr id="144175517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982345" cy="629920"/>
                  </a:xfrm>
                  <a:prstGeom prst="rect">
                    <a:avLst/>
                  </a:prstGeom>
                  <a:ln/>
                </pic:spPr>
              </pic:pic>
            </a:graphicData>
          </a:graphic>
        </wp:anchor>
      </w:drawing>
    </w:r>
    <w:r>
      <w:rPr>
        <w:noProof/>
      </w:rPr>
      <w:drawing>
        <wp:anchor distT="0" distB="0" distL="114300" distR="114300" simplePos="0" relativeHeight="251663360" behindDoc="0" locked="0" layoutInCell="1" hidden="0" allowOverlap="1" wp14:anchorId="0C5FADE4" wp14:editId="4D9EC2FE">
          <wp:simplePos x="0" y="0"/>
          <wp:positionH relativeFrom="column">
            <wp:posOffset>5063490</wp:posOffset>
          </wp:positionH>
          <wp:positionV relativeFrom="paragraph">
            <wp:posOffset>71343</wp:posOffset>
          </wp:positionV>
          <wp:extent cx="692785" cy="692785"/>
          <wp:effectExtent l="0" t="0" r="0" b="0"/>
          <wp:wrapNone/>
          <wp:docPr id="144175517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
                  <a:srcRect/>
                  <a:stretch>
                    <a:fillRect/>
                  </a:stretch>
                </pic:blipFill>
                <pic:spPr>
                  <a:xfrm>
                    <a:off x="0" y="0"/>
                    <a:ext cx="692785" cy="692785"/>
                  </a:xfrm>
                  <a:prstGeom prst="rect">
                    <a:avLst/>
                  </a:prstGeom>
                  <a:ln/>
                </pic:spPr>
              </pic:pic>
            </a:graphicData>
          </a:graphic>
        </wp:anchor>
      </w:drawing>
    </w:r>
  </w:p>
  <w:p w14:paraId="02AD7D8A" w14:textId="77777777" w:rsidR="009C3E7D" w:rsidRDefault="009C3E7D">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5F489" w14:textId="77777777" w:rsidR="00F654F7" w:rsidRDefault="00F654F7">
      <w:r>
        <w:separator/>
      </w:r>
    </w:p>
  </w:footnote>
  <w:footnote w:type="continuationSeparator" w:id="0">
    <w:p w14:paraId="4C7414EE" w14:textId="77777777" w:rsidR="00F654F7" w:rsidRDefault="00F654F7">
      <w:r>
        <w:continuationSeparator/>
      </w:r>
    </w:p>
  </w:footnote>
  <w:footnote w:id="1">
    <w:p w14:paraId="3548AB9B" w14:textId="2266AEE3" w:rsidR="00546FD4" w:rsidRPr="00546FD4" w:rsidRDefault="00546FD4" w:rsidP="00546FD4">
      <w:pPr>
        <w:pStyle w:val="Textodenotaderodap"/>
        <w:jc w:val="both"/>
        <w:rPr>
          <w:rFonts w:ascii="Arial" w:hAnsi="Arial" w:cs="Arial"/>
        </w:rPr>
      </w:pPr>
      <w:r w:rsidRPr="00546FD4">
        <w:rPr>
          <w:rStyle w:val="Refdenotaderodap"/>
          <w:rFonts w:ascii="Arial" w:hAnsi="Arial" w:cs="Arial"/>
        </w:rPr>
        <w:footnoteRef/>
      </w:r>
      <w:r w:rsidRPr="00546FD4">
        <w:rPr>
          <w:rFonts w:ascii="Arial" w:hAnsi="Arial" w:cs="Arial"/>
        </w:rPr>
        <w:t xml:space="preserve"> </w:t>
      </w:r>
      <w:r w:rsidRPr="00546FD4">
        <w:rPr>
          <w:rFonts w:ascii="Arial" w:hAnsi="Arial" w:cs="Arial"/>
        </w:rPr>
        <w:t>O presente trabalho foi realizado com apoio da Coordenação de Aperfeiçoamento de Pessoal de Nível Superior - Brasil (CAPES) - Código de Financiamento 001.</w:t>
      </w:r>
    </w:p>
  </w:footnote>
  <w:footnote w:id="2">
    <w:p w14:paraId="5EAB68D5" w14:textId="2551DAA8" w:rsidR="009C3E7D" w:rsidRDefault="00000000" w:rsidP="00B84817">
      <w:pPr>
        <w:widowControl/>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sidR="00362C1C">
        <w:rPr>
          <w:color w:val="000000"/>
          <w:sz w:val="20"/>
          <w:szCs w:val="20"/>
        </w:rPr>
        <w:t>Mestre em Sociologia (UEL)</w:t>
      </w:r>
      <w:r>
        <w:rPr>
          <w:color w:val="000000"/>
          <w:sz w:val="20"/>
          <w:szCs w:val="20"/>
        </w:rPr>
        <w:t xml:space="preserve">, </w:t>
      </w:r>
      <w:r w:rsidR="00362C1C">
        <w:rPr>
          <w:color w:val="000000"/>
          <w:sz w:val="20"/>
          <w:szCs w:val="20"/>
        </w:rPr>
        <w:t>doutorando no Programa de Pós-Graduação em Ciências Sociais da Universidade Estadual de Maringá</w:t>
      </w:r>
      <w:r w:rsidR="00903266">
        <w:rPr>
          <w:color w:val="000000"/>
          <w:sz w:val="20"/>
          <w:szCs w:val="20"/>
        </w:rPr>
        <w:t xml:space="preserve">, </w:t>
      </w:r>
      <w:r w:rsidR="00362C1C">
        <w:rPr>
          <w:color w:val="000000"/>
          <w:sz w:val="20"/>
          <w:szCs w:val="20"/>
        </w:rPr>
        <w:t>marcos_sales@live.com</w:t>
      </w:r>
    </w:p>
  </w:footnote>
  <w:footnote w:id="3">
    <w:p w14:paraId="04552236" w14:textId="28483AA9" w:rsidR="00B84817" w:rsidRPr="00546FD4" w:rsidRDefault="00B84817" w:rsidP="00546FD4">
      <w:pPr>
        <w:pStyle w:val="Textodenotaderodap"/>
        <w:jc w:val="both"/>
        <w:rPr>
          <w:rFonts w:ascii="Arial" w:hAnsi="Arial" w:cs="Arial"/>
          <w:lang w:val="pt-BR"/>
        </w:rPr>
      </w:pPr>
      <w:r w:rsidRPr="00546FD4">
        <w:rPr>
          <w:rStyle w:val="Refdenotaderodap"/>
          <w:rFonts w:ascii="Arial" w:hAnsi="Arial" w:cs="Arial"/>
        </w:rPr>
        <w:footnoteRef/>
      </w:r>
      <w:r w:rsidRPr="00546FD4">
        <w:rPr>
          <w:rFonts w:ascii="Arial" w:hAnsi="Arial" w:cs="Arial"/>
        </w:rPr>
        <w:t xml:space="preserve"> </w:t>
      </w:r>
      <w:r w:rsidR="00546FD4" w:rsidRPr="00546FD4">
        <w:rPr>
          <w:rFonts w:ascii="Arial" w:hAnsi="Arial" w:cs="Arial"/>
        </w:rPr>
        <w:t>Neste trabalho, proponho compreender o cis-separatismo menos como corrente unificada ou conceito já estabilizado e mais como uma lógica cis-separatista: uma racionalidade político-discursiva de produção, vigilância e reiteração de fronteiras de gênero, ancorada na naturalização da cisgeneridade, no apelo à proteção e na administração diferencial do pertencimento. Nessa chave, o que está em jogo não é apenas a formulação de uma posição identitária, mas a operação de um modo de ordenamento social que distingue sujeitos legítimos e ilegítimos, distribui reconhecimento e organiza regimes de visibilidade, circulação e exclusão</w:t>
      </w:r>
      <w:r w:rsidRPr="00546FD4">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0CE2" w14:textId="77777777" w:rsidR="009C3E7D" w:rsidRDefault="00000000">
    <w:pPr>
      <w:pBdr>
        <w:top w:val="nil"/>
        <w:left w:val="nil"/>
        <w:bottom w:val="nil"/>
        <w:right w:val="nil"/>
        <w:between w:val="nil"/>
      </w:pBdr>
      <w:tabs>
        <w:tab w:val="center" w:pos="4252"/>
        <w:tab w:val="right" w:pos="8504"/>
      </w:tabs>
      <w:jc w:val="center"/>
      <w:rPr>
        <w:color w:val="000000"/>
      </w:rPr>
    </w:pPr>
    <w:r>
      <w:rPr>
        <w:noProof/>
      </w:rPr>
      <w:drawing>
        <wp:anchor distT="114300" distB="114300" distL="114300" distR="114300" simplePos="0" relativeHeight="251658240" behindDoc="1" locked="0" layoutInCell="1" hidden="0" allowOverlap="1" wp14:anchorId="3578F81A" wp14:editId="7CD2DACD">
          <wp:simplePos x="0" y="0"/>
          <wp:positionH relativeFrom="column">
            <wp:posOffset>2231553</wp:posOffset>
          </wp:positionH>
          <wp:positionV relativeFrom="paragraph">
            <wp:posOffset>109166</wp:posOffset>
          </wp:positionV>
          <wp:extent cx="1259174" cy="533400"/>
          <wp:effectExtent l="0" t="0" r="0" b="0"/>
          <wp:wrapNone/>
          <wp:docPr id="144175517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259174" cy="533400"/>
                  </a:xfrm>
                  <a:prstGeom prst="rect">
                    <a:avLst/>
                  </a:prstGeom>
                  <a:ln/>
                </pic:spPr>
              </pic:pic>
            </a:graphicData>
          </a:graphic>
        </wp:anchor>
      </w:drawing>
    </w:r>
  </w:p>
  <w:p w14:paraId="52E1DE4B" w14:textId="77777777" w:rsidR="009C3E7D" w:rsidRDefault="009C3E7D">
    <w:pPr>
      <w:pBdr>
        <w:top w:val="nil"/>
        <w:left w:val="nil"/>
        <w:bottom w:val="nil"/>
        <w:right w:val="nil"/>
        <w:between w:val="nil"/>
      </w:pBdr>
      <w:tabs>
        <w:tab w:val="center" w:pos="4252"/>
        <w:tab w:val="right" w:pos="8504"/>
      </w:tabs>
      <w:rPr>
        <w:color w:val="000000"/>
      </w:rPr>
    </w:pPr>
  </w:p>
  <w:p w14:paraId="3E19B2D2" w14:textId="77777777" w:rsidR="009C3E7D" w:rsidRDefault="009C3E7D">
    <w:pPr>
      <w:pBdr>
        <w:top w:val="nil"/>
        <w:left w:val="nil"/>
        <w:bottom w:val="nil"/>
        <w:right w:val="nil"/>
        <w:between w:val="nil"/>
      </w:pBdr>
      <w:tabs>
        <w:tab w:val="center" w:pos="4252"/>
        <w:tab w:val="right" w:pos="8504"/>
      </w:tabs>
      <w:rPr>
        <w:color w:val="000000"/>
      </w:rPr>
    </w:pPr>
  </w:p>
  <w:p w14:paraId="7AEE03D8" w14:textId="77777777" w:rsidR="009C3E7D" w:rsidRDefault="009C3E7D">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A5790E"/>
    <w:multiLevelType w:val="multilevel"/>
    <w:tmpl w:val="A01E2C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8689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E7D"/>
    <w:rsid w:val="00085A3C"/>
    <w:rsid w:val="000B326F"/>
    <w:rsid w:val="001779C1"/>
    <w:rsid w:val="001E7D3E"/>
    <w:rsid w:val="00200E88"/>
    <w:rsid w:val="00244389"/>
    <w:rsid w:val="002F66F0"/>
    <w:rsid w:val="00301697"/>
    <w:rsid w:val="00326739"/>
    <w:rsid w:val="00362C1C"/>
    <w:rsid w:val="00376B28"/>
    <w:rsid w:val="003D5536"/>
    <w:rsid w:val="00455615"/>
    <w:rsid w:val="004626DC"/>
    <w:rsid w:val="004D2E44"/>
    <w:rsid w:val="005453BE"/>
    <w:rsid w:val="00546FD4"/>
    <w:rsid w:val="005B4022"/>
    <w:rsid w:val="00602D31"/>
    <w:rsid w:val="00645F46"/>
    <w:rsid w:val="006A66FA"/>
    <w:rsid w:val="006E3891"/>
    <w:rsid w:val="00744B60"/>
    <w:rsid w:val="00767CBF"/>
    <w:rsid w:val="0080590B"/>
    <w:rsid w:val="008F3703"/>
    <w:rsid w:val="00903266"/>
    <w:rsid w:val="00991363"/>
    <w:rsid w:val="009C3E7D"/>
    <w:rsid w:val="00AA10E3"/>
    <w:rsid w:val="00B16EF5"/>
    <w:rsid w:val="00B84817"/>
    <w:rsid w:val="00C9044E"/>
    <w:rsid w:val="00D21708"/>
    <w:rsid w:val="00DC10C6"/>
    <w:rsid w:val="00DF732F"/>
    <w:rsid w:val="00E10B70"/>
    <w:rsid w:val="00E83BA6"/>
    <w:rsid w:val="00EB7D84"/>
    <w:rsid w:val="00EC1B92"/>
    <w:rsid w:val="00F0674D"/>
    <w:rsid w:val="00F654F7"/>
    <w:rsid w:val="00F97DF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FE4F1"/>
  <w15:docId w15:val="{5B2FB41D-51D5-421C-9B85-37816B0FA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before="49"/>
      <w:ind w:left="172" w:right="182"/>
      <w:jc w:val="center"/>
    </w:pPr>
    <w:rPr>
      <w:b/>
      <w:bCs/>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7E5E6B"/>
    <w:pPr>
      <w:tabs>
        <w:tab w:val="center" w:pos="4252"/>
        <w:tab w:val="right" w:pos="8504"/>
      </w:tabs>
    </w:pPr>
  </w:style>
  <w:style w:type="character" w:customStyle="1" w:styleId="CabealhoChar">
    <w:name w:val="Cabeçalho Char"/>
    <w:basedOn w:val="Fontepargpadro"/>
    <w:link w:val="Cabealho"/>
    <w:uiPriority w:val="99"/>
    <w:rsid w:val="007E5E6B"/>
    <w:rPr>
      <w:rFonts w:ascii="Arial" w:eastAsia="Arial" w:hAnsi="Arial" w:cs="Arial"/>
      <w:lang w:val="pt-PT"/>
    </w:rPr>
  </w:style>
  <w:style w:type="paragraph" w:styleId="Rodap">
    <w:name w:val="footer"/>
    <w:basedOn w:val="Normal"/>
    <w:link w:val="RodapChar"/>
    <w:uiPriority w:val="99"/>
    <w:unhideWhenUsed/>
    <w:rsid w:val="007E5E6B"/>
    <w:pPr>
      <w:tabs>
        <w:tab w:val="center" w:pos="4252"/>
        <w:tab w:val="right" w:pos="8504"/>
      </w:tabs>
    </w:pPr>
  </w:style>
  <w:style w:type="character" w:customStyle="1" w:styleId="RodapChar">
    <w:name w:val="Rodapé Char"/>
    <w:basedOn w:val="Fontepargpadro"/>
    <w:link w:val="Rodap"/>
    <w:uiPriority w:val="99"/>
    <w:rsid w:val="007E5E6B"/>
    <w:rPr>
      <w:rFonts w:ascii="Arial" w:eastAsia="Arial" w:hAnsi="Arial" w:cs="Arial"/>
      <w:lang w:val="pt-PT"/>
    </w:rPr>
  </w:style>
  <w:style w:type="paragraph" w:styleId="NormalWeb">
    <w:name w:val="Normal (Web)"/>
    <w:basedOn w:val="Normal"/>
    <w:uiPriority w:val="99"/>
    <w:semiHidden/>
    <w:unhideWhenUsed/>
    <w:rsid w:val="00065B2B"/>
    <w:pPr>
      <w:widowControl/>
      <w:spacing w:before="100" w:beforeAutospacing="1" w:after="100" w:afterAutospacing="1"/>
    </w:pPr>
    <w:rPr>
      <w:rFonts w:ascii="Times New Roman" w:eastAsia="Times New Roman" w:hAnsi="Times New Roman" w:cs="Times New Roman"/>
      <w:sz w:val="24"/>
      <w:szCs w:val="24"/>
      <w:lang w:val="pt-BR"/>
    </w:rPr>
  </w:style>
  <w:style w:type="character" w:customStyle="1" w:styleId="apple-tab-span">
    <w:name w:val="apple-tab-span"/>
    <w:basedOn w:val="Fontepargpadro"/>
    <w:rsid w:val="00065B2B"/>
  </w:style>
  <w:style w:type="paragraph" w:customStyle="1" w:styleId="SubtituloProex">
    <w:name w:val="Subtitulo Proex"/>
    <w:basedOn w:val="Corpodetexto"/>
    <w:link w:val="SubtituloProexChar"/>
    <w:qFormat/>
    <w:rsid w:val="00762C13"/>
    <w:pPr>
      <w:spacing w:before="310" w:after="320" w:line="360" w:lineRule="auto"/>
      <w:jc w:val="center"/>
    </w:pPr>
    <w:rPr>
      <w:b/>
      <w:bCs/>
    </w:rPr>
  </w:style>
  <w:style w:type="character" w:customStyle="1" w:styleId="SubtituloProexChar">
    <w:name w:val="Subtitulo Proex Char"/>
    <w:basedOn w:val="Fontepargpadro"/>
    <w:link w:val="SubtituloProex"/>
    <w:rsid w:val="00762C13"/>
    <w:rPr>
      <w:rFonts w:ascii="Arial" w:eastAsia="Arial" w:hAnsi="Arial" w:cs="Arial"/>
      <w:b/>
      <w:bCs/>
      <w:sz w:val="24"/>
      <w:szCs w:val="24"/>
      <w:lang w:val="pt-PT"/>
    </w:rPr>
  </w:style>
  <w:style w:type="paragraph" w:customStyle="1" w:styleId="Informaes">
    <w:name w:val="Informações"/>
    <w:basedOn w:val="Normal"/>
    <w:link w:val="InformaesChar"/>
    <w:qFormat/>
    <w:rsid w:val="00762C13"/>
    <w:pPr>
      <w:widowControl/>
      <w:spacing w:after="160" w:line="360" w:lineRule="auto"/>
      <w:jc w:val="right"/>
    </w:pPr>
    <w:rPr>
      <w:rFonts w:eastAsiaTheme="minorHAnsi"/>
      <w:b/>
      <w:bCs/>
      <w:kern w:val="2"/>
      <w:sz w:val="24"/>
      <w:szCs w:val="24"/>
      <w:lang w:val="pt-BR"/>
    </w:rPr>
  </w:style>
  <w:style w:type="character" w:customStyle="1" w:styleId="InformaesChar">
    <w:name w:val="Informações Char"/>
    <w:basedOn w:val="Fontepargpadro"/>
    <w:link w:val="Informaes"/>
    <w:rsid w:val="00762C13"/>
    <w:rPr>
      <w:rFonts w:ascii="Arial" w:hAnsi="Arial" w:cs="Arial"/>
      <w:b/>
      <w:bCs/>
      <w:kern w:val="2"/>
      <w:sz w:val="24"/>
      <w:szCs w:val="24"/>
      <w:lang w:val="pt-BR"/>
    </w:rPr>
  </w:style>
  <w:style w:type="paragraph" w:customStyle="1" w:styleId="TituloProex">
    <w:name w:val="Titulo Proex"/>
    <w:link w:val="TituloProexChar"/>
    <w:qFormat/>
    <w:rsid w:val="00762C13"/>
    <w:pPr>
      <w:widowControl/>
      <w:spacing w:before="360" w:after="80" w:line="278" w:lineRule="auto"/>
      <w:jc w:val="center"/>
    </w:pPr>
    <w:rPr>
      <w:b/>
      <w:bCs/>
      <w:kern w:val="2"/>
      <w:sz w:val="24"/>
      <w:szCs w:val="24"/>
      <w:lang w:val="pt-BR"/>
    </w:rPr>
  </w:style>
  <w:style w:type="character" w:customStyle="1" w:styleId="TituloProexChar">
    <w:name w:val="Titulo Proex Char"/>
    <w:basedOn w:val="Ttulo1Char"/>
    <w:link w:val="TituloProex"/>
    <w:rsid w:val="00762C13"/>
    <w:rPr>
      <w:rFonts w:ascii="Arial" w:eastAsiaTheme="majorEastAsia" w:hAnsi="Arial" w:cs="Arial"/>
      <w:b/>
      <w:bCs/>
      <w:color w:val="365F91" w:themeColor="accent1" w:themeShade="BF"/>
      <w:kern w:val="2"/>
      <w:sz w:val="24"/>
      <w:szCs w:val="24"/>
      <w:lang w:val="pt-BR"/>
    </w:rPr>
  </w:style>
  <w:style w:type="character" w:customStyle="1" w:styleId="Ttulo1Char">
    <w:name w:val="Título 1 Char"/>
    <w:basedOn w:val="Fontepargpadro"/>
    <w:uiPriority w:val="9"/>
    <w:rsid w:val="00762C13"/>
    <w:rPr>
      <w:rFonts w:asciiTheme="majorHAnsi" w:eastAsiaTheme="majorEastAsia" w:hAnsiTheme="majorHAnsi" w:cstheme="majorBidi"/>
      <w:color w:val="365F91" w:themeColor="accent1" w:themeShade="BF"/>
      <w:sz w:val="32"/>
      <w:szCs w:val="32"/>
      <w:lang w:val="pt-PT"/>
    </w:rPr>
  </w:style>
  <w:style w:type="paragraph" w:styleId="Legenda">
    <w:name w:val="caption"/>
    <w:basedOn w:val="Normal"/>
    <w:next w:val="Normal"/>
    <w:qFormat/>
    <w:rsid w:val="00382672"/>
    <w:pPr>
      <w:widowControl/>
    </w:pPr>
    <w:rPr>
      <w:rFonts w:ascii="Times New Roman" w:eastAsia="Times New Roman" w:hAnsi="Times New Roman" w:cs="Times New Roman"/>
      <w:sz w:val="20"/>
      <w:szCs w:val="20"/>
      <w:lang w:val="it-IT"/>
    </w:rPr>
  </w:style>
  <w:style w:type="character" w:styleId="Hyperlink">
    <w:name w:val="Hyperlink"/>
    <w:semiHidden/>
    <w:rsid w:val="00382672"/>
    <w:rPr>
      <w:color w:val="0000FF"/>
      <w:u w:val="single"/>
    </w:rPr>
  </w:style>
  <w:style w:type="paragraph" w:styleId="Textodenotaderodap">
    <w:name w:val="footnote text"/>
    <w:basedOn w:val="Normal"/>
    <w:link w:val="TextodenotaderodapChar"/>
    <w:uiPriority w:val="99"/>
    <w:semiHidden/>
    <w:unhideWhenUsed/>
    <w:rsid w:val="00382672"/>
    <w:pPr>
      <w:widowControl/>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382672"/>
    <w:rPr>
      <w:rFonts w:ascii="Times New Roman" w:eastAsia="Times New Roman" w:hAnsi="Times New Roman" w:cs="Times New Roman"/>
      <w:sz w:val="20"/>
      <w:szCs w:val="20"/>
      <w:lang w:val="pt-PT" w:eastAsia="pt-BR"/>
    </w:rPr>
  </w:style>
  <w:style w:type="character" w:styleId="Refdenotaderodap">
    <w:name w:val="footnote reference"/>
    <w:uiPriority w:val="99"/>
    <w:semiHidden/>
    <w:unhideWhenUsed/>
    <w:rsid w:val="00382672"/>
    <w:rPr>
      <w:vertAlign w:val="superscript"/>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MenoPendente">
    <w:name w:val="Unresolved Mention"/>
    <w:basedOn w:val="Fontepargpadro"/>
    <w:uiPriority w:val="99"/>
    <w:semiHidden/>
    <w:unhideWhenUsed/>
    <w:rsid w:val="00C9044E"/>
    <w:rPr>
      <w:color w:val="605E5C"/>
      <w:shd w:val="clear" w:color="auto" w:fill="E1DFDD"/>
    </w:rPr>
  </w:style>
  <w:style w:type="character" w:styleId="HiperlinkVisitado">
    <w:name w:val="FollowedHyperlink"/>
    <w:basedOn w:val="Fontepargpadro"/>
    <w:uiPriority w:val="99"/>
    <w:semiHidden/>
    <w:unhideWhenUsed/>
    <w:rsid w:val="00EB7D84"/>
    <w:rPr>
      <w:color w:val="800080" w:themeColor="followedHyperlink"/>
      <w:u w:val="single"/>
    </w:rPr>
  </w:style>
  <w:style w:type="paragraph" w:styleId="Bibliografia">
    <w:name w:val="Bibliography"/>
    <w:basedOn w:val="Normal"/>
    <w:next w:val="Normal"/>
    <w:uiPriority w:val="37"/>
    <w:unhideWhenUsed/>
    <w:rsid w:val="006A66FA"/>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196116">
      <w:bodyDiv w:val="1"/>
      <w:marLeft w:val="0"/>
      <w:marRight w:val="0"/>
      <w:marTop w:val="0"/>
      <w:marBottom w:val="0"/>
      <w:divBdr>
        <w:top w:val="none" w:sz="0" w:space="0" w:color="auto"/>
        <w:left w:val="none" w:sz="0" w:space="0" w:color="auto"/>
        <w:bottom w:val="none" w:sz="0" w:space="0" w:color="auto"/>
        <w:right w:val="none" w:sz="0" w:space="0" w:color="auto"/>
      </w:divBdr>
    </w:div>
    <w:div w:id="417017512">
      <w:bodyDiv w:val="1"/>
      <w:marLeft w:val="0"/>
      <w:marRight w:val="0"/>
      <w:marTop w:val="0"/>
      <w:marBottom w:val="0"/>
      <w:divBdr>
        <w:top w:val="none" w:sz="0" w:space="0" w:color="auto"/>
        <w:left w:val="none" w:sz="0" w:space="0" w:color="auto"/>
        <w:bottom w:val="none" w:sz="0" w:space="0" w:color="auto"/>
        <w:right w:val="none" w:sz="0" w:space="0" w:color="auto"/>
      </w:divBdr>
    </w:div>
    <w:div w:id="466316453">
      <w:bodyDiv w:val="1"/>
      <w:marLeft w:val="0"/>
      <w:marRight w:val="0"/>
      <w:marTop w:val="0"/>
      <w:marBottom w:val="0"/>
      <w:divBdr>
        <w:top w:val="none" w:sz="0" w:space="0" w:color="auto"/>
        <w:left w:val="none" w:sz="0" w:space="0" w:color="auto"/>
        <w:bottom w:val="none" w:sz="0" w:space="0" w:color="auto"/>
        <w:right w:val="none" w:sz="0" w:space="0" w:color="auto"/>
      </w:divBdr>
    </w:div>
    <w:div w:id="613946781">
      <w:bodyDiv w:val="1"/>
      <w:marLeft w:val="0"/>
      <w:marRight w:val="0"/>
      <w:marTop w:val="0"/>
      <w:marBottom w:val="0"/>
      <w:divBdr>
        <w:top w:val="none" w:sz="0" w:space="0" w:color="auto"/>
        <w:left w:val="none" w:sz="0" w:space="0" w:color="auto"/>
        <w:bottom w:val="none" w:sz="0" w:space="0" w:color="auto"/>
        <w:right w:val="none" w:sz="0" w:space="0" w:color="auto"/>
      </w:divBdr>
      <w:divsChild>
        <w:div w:id="550724529">
          <w:marLeft w:val="0"/>
          <w:marRight w:val="0"/>
          <w:marTop w:val="0"/>
          <w:marBottom w:val="0"/>
          <w:divBdr>
            <w:top w:val="none" w:sz="0" w:space="0" w:color="auto"/>
            <w:left w:val="none" w:sz="0" w:space="0" w:color="auto"/>
            <w:bottom w:val="none" w:sz="0" w:space="0" w:color="auto"/>
            <w:right w:val="none" w:sz="0" w:space="0" w:color="auto"/>
          </w:divBdr>
          <w:divsChild>
            <w:div w:id="2043895986">
              <w:marLeft w:val="0"/>
              <w:marRight w:val="0"/>
              <w:marTop w:val="0"/>
              <w:marBottom w:val="0"/>
              <w:divBdr>
                <w:top w:val="none" w:sz="0" w:space="0" w:color="auto"/>
                <w:left w:val="none" w:sz="0" w:space="0" w:color="auto"/>
                <w:bottom w:val="none" w:sz="0" w:space="0" w:color="auto"/>
                <w:right w:val="none" w:sz="0" w:space="0" w:color="auto"/>
              </w:divBdr>
              <w:divsChild>
                <w:div w:id="1392461742">
                  <w:marLeft w:val="0"/>
                  <w:marRight w:val="0"/>
                  <w:marTop w:val="0"/>
                  <w:marBottom w:val="0"/>
                  <w:divBdr>
                    <w:top w:val="none" w:sz="0" w:space="0" w:color="auto"/>
                    <w:left w:val="none" w:sz="0" w:space="0" w:color="auto"/>
                    <w:bottom w:val="none" w:sz="0" w:space="0" w:color="auto"/>
                    <w:right w:val="none" w:sz="0" w:space="0" w:color="auto"/>
                  </w:divBdr>
                  <w:divsChild>
                    <w:div w:id="112017608">
                      <w:marLeft w:val="0"/>
                      <w:marRight w:val="0"/>
                      <w:marTop w:val="0"/>
                      <w:marBottom w:val="0"/>
                      <w:divBdr>
                        <w:top w:val="none" w:sz="0" w:space="0" w:color="auto"/>
                        <w:left w:val="none" w:sz="0" w:space="0" w:color="auto"/>
                        <w:bottom w:val="none" w:sz="0" w:space="0" w:color="auto"/>
                        <w:right w:val="none" w:sz="0" w:space="0" w:color="auto"/>
                      </w:divBdr>
                      <w:divsChild>
                        <w:div w:id="2057389625">
                          <w:marLeft w:val="0"/>
                          <w:marRight w:val="0"/>
                          <w:marTop w:val="0"/>
                          <w:marBottom w:val="0"/>
                          <w:divBdr>
                            <w:top w:val="none" w:sz="0" w:space="0" w:color="auto"/>
                            <w:left w:val="none" w:sz="0" w:space="0" w:color="auto"/>
                            <w:bottom w:val="none" w:sz="0" w:space="0" w:color="auto"/>
                            <w:right w:val="none" w:sz="0" w:space="0" w:color="auto"/>
                          </w:divBdr>
                          <w:divsChild>
                            <w:div w:id="860703782">
                              <w:marLeft w:val="0"/>
                              <w:marRight w:val="0"/>
                              <w:marTop w:val="0"/>
                              <w:marBottom w:val="0"/>
                              <w:divBdr>
                                <w:top w:val="none" w:sz="0" w:space="0" w:color="auto"/>
                                <w:left w:val="none" w:sz="0" w:space="0" w:color="auto"/>
                                <w:bottom w:val="none" w:sz="0" w:space="0" w:color="auto"/>
                                <w:right w:val="none" w:sz="0" w:space="0" w:color="auto"/>
                              </w:divBdr>
                              <w:divsChild>
                                <w:div w:id="128446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581003">
      <w:bodyDiv w:val="1"/>
      <w:marLeft w:val="0"/>
      <w:marRight w:val="0"/>
      <w:marTop w:val="0"/>
      <w:marBottom w:val="0"/>
      <w:divBdr>
        <w:top w:val="none" w:sz="0" w:space="0" w:color="auto"/>
        <w:left w:val="none" w:sz="0" w:space="0" w:color="auto"/>
        <w:bottom w:val="none" w:sz="0" w:space="0" w:color="auto"/>
        <w:right w:val="none" w:sz="0" w:space="0" w:color="auto"/>
      </w:divBdr>
    </w:div>
    <w:div w:id="903218550">
      <w:bodyDiv w:val="1"/>
      <w:marLeft w:val="0"/>
      <w:marRight w:val="0"/>
      <w:marTop w:val="0"/>
      <w:marBottom w:val="0"/>
      <w:divBdr>
        <w:top w:val="none" w:sz="0" w:space="0" w:color="auto"/>
        <w:left w:val="none" w:sz="0" w:space="0" w:color="auto"/>
        <w:bottom w:val="none" w:sz="0" w:space="0" w:color="auto"/>
        <w:right w:val="none" w:sz="0" w:space="0" w:color="auto"/>
      </w:divBdr>
    </w:div>
    <w:div w:id="1002708584">
      <w:bodyDiv w:val="1"/>
      <w:marLeft w:val="0"/>
      <w:marRight w:val="0"/>
      <w:marTop w:val="0"/>
      <w:marBottom w:val="0"/>
      <w:divBdr>
        <w:top w:val="none" w:sz="0" w:space="0" w:color="auto"/>
        <w:left w:val="none" w:sz="0" w:space="0" w:color="auto"/>
        <w:bottom w:val="none" w:sz="0" w:space="0" w:color="auto"/>
        <w:right w:val="none" w:sz="0" w:space="0" w:color="auto"/>
      </w:divBdr>
    </w:div>
    <w:div w:id="1046684199">
      <w:bodyDiv w:val="1"/>
      <w:marLeft w:val="0"/>
      <w:marRight w:val="0"/>
      <w:marTop w:val="0"/>
      <w:marBottom w:val="0"/>
      <w:divBdr>
        <w:top w:val="none" w:sz="0" w:space="0" w:color="auto"/>
        <w:left w:val="none" w:sz="0" w:space="0" w:color="auto"/>
        <w:bottom w:val="none" w:sz="0" w:space="0" w:color="auto"/>
        <w:right w:val="none" w:sz="0" w:space="0" w:color="auto"/>
      </w:divBdr>
    </w:div>
    <w:div w:id="1099986830">
      <w:bodyDiv w:val="1"/>
      <w:marLeft w:val="0"/>
      <w:marRight w:val="0"/>
      <w:marTop w:val="0"/>
      <w:marBottom w:val="0"/>
      <w:divBdr>
        <w:top w:val="none" w:sz="0" w:space="0" w:color="auto"/>
        <w:left w:val="none" w:sz="0" w:space="0" w:color="auto"/>
        <w:bottom w:val="none" w:sz="0" w:space="0" w:color="auto"/>
        <w:right w:val="none" w:sz="0" w:space="0" w:color="auto"/>
      </w:divBdr>
    </w:div>
    <w:div w:id="1210261804">
      <w:bodyDiv w:val="1"/>
      <w:marLeft w:val="0"/>
      <w:marRight w:val="0"/>
      <w:marTop w:val="0"/>
      <w:marBottom w:val="0"/>
      <w:divBdr>
        <w:top w:val="none" w:sz="0" w:space="0" w:color="auto"/>
        <w:left w:val="none" w:sz="0" w:space="0" w:color="auto"/>
        <w:bottom w:val="none" w:sz="0" w:space="0" w:color="auto"/>
        <w:right w:val="none" w:sz="0" w:space="0" w:color="auto"/>
      </w:divBdr>
    </w:div>
    <w:div w:id="1416823331">
      <w:bodyDiv w:val="1"/>
      <w:marLeft w:val="0"/>
      <w:marRight w:val="0"/>
      <w:marTop w:val="0"/>
      <w:marBottom w:val="0"/>
      <w:divBdr>
        <w:top w:val="none" w:sz="0" w:space="0" w:color="auto"/>
        <w:left w:val="none" w:sz="0" w:space="0" w:color="auto"/>
        <w:bottom w:val="none" w:sz="0" w:space="0" w:color="auto"/>
        <w:right w:val="none" w:sz="0" w:space="0" w:color="auto"/>
      </w:divBdr>
    </w:div>
    <w:div w:id="1480270285">
      <w:bodyDiv w:val="1"/>
      <w:marLeft w:val="0"/>
      <w:marRight w:val="0"/>
      <w:marTop w:val="0"/>
      <w:marBottom w:val="0"/>
      <w:divBdr>
        <w:top w:val="none" w:sz="0" w:space="0" w:color="auto"/>
        <w:left w:val="none" w:sz="0" w:space="0" w:color="auto"/>
        <w:bottom w:val="none" w:sz="0" w:space="0" w:color="auto"/>
        <w:right w:val="none" w:sz="0" w:space="0" w:color="auto"/>
      </w:divBdr>
    </w:div>
    <w:div w:id="1518495873">
      <w:bodyDiv w:val="1"/>
      <w:marLeft w:val="0"/>
      <w:marRight w:val="0"/>
      <w:marTop w:val="0"/>
      <w:marBottom w:val="0"/>
      <w:divBdr>
        <w:top w:val="none" w:sz="0" w:space="0" w:color="auto"/>
        <w:left w:val="none" w:sz="0" w:space="0" w:color="auto"/>
        <w:bottom w:val="none" w:sz="0" w:space="0" w:color="auto"/>
        <w:right w:val="none" w:sz="0" w:space="0" w:color="auto"/>
      </w:divBdr>
    </w:div>
    <w:div w:id="1655916630">
      <w:bodyDiv w:val="1"/>
      <w:marLeft w:val="0"/>
      <w:marRight w:val="0"/>
      <w:marTop w:val="0"/>
      <w:marBottom w:val="0"/>
      <w:divBdr>
        <w:top w:val="none" w:sz="0" w:space="0" w:color="auto"/>
        <w:left w:val="none" w:sz="0" w:space="0" w:color="auto"/>
        <w:bottom w:val="none" w:sz="0" w:space="0" w:color="auto"/>
        <w:right w:val="none" w:sz="0" w:space="0" w:color="auto"/>
      </w:divBdr>
    </w:div>
    <w:div w:id="1708749176">
      <w:bodyDiv w:val="1"/>
      <w:marLeft w:val="0"/>
      <w:marRight w:val="0"/>
      <w:marTop w:val="0"/>
      <w:marBottom w:val="0"/>
      <w:divBdr>
        <w:top w:val="none" w:sz="0" w:space="0" w:color="auto"/>
        <w:left w:val="none" w:sz="0" w:space="0" w:color="auto"/>
        <w:bottom w:val="none" w:sz="0" w:space="0" w:color="auto"/>
        <w:right w:val="none" w:sz="0" w:space="0" w:color="auto"/>
      </w:divBdr>
    </w:div>
    <w:div w:id="1749036350">
      <w:bodyDiv w:val="1"/>
      <w:marLeft w:val="0"/>
      <w:marRight w:val="0"/>
      <w:marTop w:val="0"/>
      <w:marBottom w:val="0"/>
      <w:divBdr>
        <w:top w:val="none" w:sz="0" w:space="0" w:color="auto"/>
        <w:left w:val="none" w:sz="0" w:space="0" w:color="auto"/>
        <w:bottom w:val="none" w:sz="0" w:space="0" w:color="auto"/>
        <w:right w:val="none" w:sz="0" w:space="0" w:color="auto"/>
      </w:divBdr>
    </w:div>
    <w:div w:id="1752314995">
      <w:bodyDiv w:val="1"/>
      <w:marLeft w:val="0"/>
      <w:marRight w:val="0"/>
      <w:marTop w:val="0"/>
      <w:marBottom w:val="0"/>
      <w:divBdr>
        <w:top w:val="none" w:sz="0" w:space="0" w:color="auto"/>
        <w:left w:val="none" w:sz="0" w:space="0" w:color="auto"/>
        <w:bottom w:val="none" w:sz="0" w:space="0" w:color="auto"/>
        <w:right w:val="none" w:sz="0" w:space="0" w:color="auto"/>
      </w:divBdr>
    </w:div>
    <w:div w:id="1890534870">
      <w:bodyDiv w:val="1"/>
      <w:marLeft w:val="0"/>
      <w:marRight w:val="0"/>
      <w:marTop w:val="0"/>
      <w:marBottom w:val="0"/>
      <w:divBdr>
        <w:top w:val="none" w:sz="0" w:space="0" w:color="auto"/>
        <w:left w:val="none" w:sz="0" w:space="0" w:color="auto"/>
        <w:bottom w:val="none" w:sz="0" w:space="0" w:color="auto"/>
        <w:right w:val="none" w:sz="0" w:space="0" w:color="auto"/>
      </w:divBdr>
    </w:div>
    <w:div w:id="2125613697">
      <w:bodyDiv w:val="1"/>
      <w:marLeft w:val="0"/>
      <w:marRight w:val="0"/>
      <w:marTop w:val="0"/>
      <w:marBottom w:val="0"/>
      <w:divBdr>
        <w:top w:val="none" w:sz="0" w:space="0" w:color="auto"/>
        <w:left w:val="none" w:sz="0" w:space="0" w:color="auto"/>
        <w:bottom w:val="none" w:sz="0" w:space="0" w:color="auto"/>
        <w:right w:val="none" w:sz="0" w:space="0" w:color="auto"/>
      </w:divBdr>
    </w:div>
    <w:div w:id="2138251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g"/><Relationship Id="rId1" Type="http://schemas.openxmlformats.org/officeDocument/2006/relationships/image" Target="media/image2.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BNT_NBR_2018.XSL" StyleName="ABNT NBR 6023:2018*" Version="10"/>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Rh/jtw4MNjwVu9K1XITq/jOcnQ==">CgMxLjA4AHIhMTRQdWRZbEY4WEhQWDJ1UXpVdnQtYmdaLWI5MGsyNkRR</go:docsCustomData>
</go:gDocsCustomXmlDataStorage>
</file>

<file path=customXml/itemProps1.xml><?xml version="1.0" encoding="utf-8"?>
<ds:datastoreItem xmlns:ds="http://schemas.openxmlformats.org/officeDocument/2006/customXml" ds:itemID="{0BC981F9-3CBB-4233-9636-9D51F4A3CF5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14</Pages>
  <Words>11458</Words>
  <Characters>61879</Characters>
  <Application>Microsoft Office Word</Application>
  <DocSecurity>0</DocSecurity>
  <Lines>515</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Marcos Sales</cp:lastModifiedBy>
  <cp:revision>11</cp:revision>
  <dcterms:created xsi:type="dcterms:W3CDTF">2026-01-06T11:50:00Z</dcterms:created>
  <dcterms:modified xsi:type="dcterms:W3CDTF">2026-04-18T15:52:00Z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2023-09-12T00:00:00Z</vt:lpwstr>
  </property>
  <property fmtid="{D5CDD505-2E9C-101B-9397-08002B2CF9AE}" pid="3" name="Creator">
    <vt:lpwstr>Microsoft® Word for Microsoft 365</vt:lpwstr>
  </property>
  <property fmtid="{D5CDD505-2E9C-101B-9397-08002B2CF9AE}" pid="4" name="LastSaved">
    <vt:lpwstr>2023-09-12T00:00:00Z</vt:lpwstr>
  </property>
  <property fmtid="{D5CDD505-2E9C-101B-9397-08002B2CF9AE}" pid="5" name="ZOTERO_PREF_1">
    <vt:lpwstr>&lt;data data-version="3" zotero-version="7.0.32"&gt;&lt;session id="xO8p0ZOP"/&gt;&lt;style id="http://www.zotero.org/styles/associacao-brasileira-de-normas-tecnicas-ufrgs" hasBibliography="1" bibliographyStyleHasBeenSet="1"/&gt;&lt;prefs&gt;&lt;pref name="fieldType" value="Field"</vt:lpwstr>
  </property>
  <property fmtid="{D5CDD505-2E9C-101B-9397-08002B2CF9AE}" pid="6" name="ZOTERO_PREF_2">
    <vt:lpwstr>/&gt;&lt;/prefs&gt;&lt;/data&gt;</vt:lpwstr>
  </property>
</Properties>
</file>